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79" w:rsidRPr="00E53C15" w:rsidRDefault="00E53C15">
      <w:pPr>
        <w:rPr>
          <w:b/>
          <w:sz w:val="32"/>
          <w:szCs w:val="32"/>
        </w:rPr>
      </w:pPr>
      <w:r w:rsidRPr="00E53C15">
        <w:rPr>
          <w:b/>
          <w:sz w:val="32"/>
          <w:szCs w:val="32"/>
        </w:rPr>
        <w:t>Еще не рост</w:t>
      </w:r>
      <w:r w:rsidR="00592E80">
        <w:rPr>
          <w:b/>
          <w:sz w:val="32"/>
          <w:szCs w:val="32"/>
        </w:rPr>
        <w:t>…</w:t>
      </w:r>
    </w:p>
    <w:p w:rsidR="00E53C15" w:rsidRPr="00E53C15" w:rsidRDefault="00E53C15" w:rsidP="00E53C15">
      <w:pPr>
        <w:rPr>
          <w:sz w:val="28"/>
          <w:szCs w:val="28"/>
        </w:rPr>
      </w:pPr>
      <w:r w:rsidRPr="00E53C15">
        <w:rPr>
          <w:sz w:val="28"/>
          <w:szCs w:val="28"/>
        </w:rPr>
        <w:t xml:space="preserve">Игорь Березин, </w:t>
      </w:r>
      <w:r w:rsidRPr="00E53C15">
        <w:rPr>
          <w:rFonts w:eastAsia="Times New Roman" w:cs="Times New Roman"/>
          <w:sz w:val="24"/>
          <w:szCs w:val="24"/>
          <w:lang w:eastAsia="ru-RU"/>
        </w:rPr>
        <w:t xml:space="preserve">Президент НП «Гильдия Маркетологов»  - </w:t>
      </w:r>
      <w:hyperlink r:id="rId6" w:history="1">
        <w:r w:rsidRPr="00E53C15">
          <w:rPr>
            <w:rFonts w:eastAsia="Times New Roman" w:cs="Times New Roman"/>
            <w:b/>
            <w:color w:val="AC6D14"/>
            <w:sz w:val="24"/>
            <w:szCs w:val="24"/>
            <w:u w:val="single"/>
            <w:lang w:val="en-US" w:eastAsia="ru-RU"/>
          </w:rPr>
          <w:t>www</w:t>
        </w:r>
        <w:r w:rsidRPr="00E53C15">
          <w:rPr>
            <w:rFonts w:eastAsia="Times New Roman" w:cs="Times New Roman"/>
            <w:b/>
            <w:color w:val="AC6D14"/>
            <w:sz w:val="24"/>
            <w:szCs w:val="24"/>
            <w:u w:val="single"/>
            <w:lang w:eastAsia="ru-RU"/>
          </w:rPr>
          <w:t>.</w:t>
        </w:r>
        <w:proofErr w:type="spellStart"/>
        <w:r w:rsidRPr="00E53C15">
          <w:rPr>
            <w:rFonts w:eastAsia="Times New Roman" w:cs="Times New Roman"/>
            <w:b/>
            <w:color w:val="AC6D14"/>
            <w:sz w:val="24"/>
            <w:szCs w:val="24"/>
            <w:u w:val="single"/>
            <w:lang w:val="en-US" w:eastAsia="ru-RU"/>
          </w:rPr>
          <w:t>marketologi</w:t>
        </w:r>
        <w:proofErr w:type="spellEnd"/>
        <w:r w:rsidRPr="00E53C15">
          <w:rPr>
            <w:rFonts w:eastAsia="Times New Roman" w:cs="Times New Roman"/>
            <w:b/>
            <w:color w:val="AC6D14"/>
            <w:sz w:val="24"/>
            <w:szCs w:val="24"/>
            <w:u w:val="single"/>
            <w:lang w:eastAsia="ru-RU"/>
          </w:rPr>
          <w:t>.</w:t>
        </w:r>
        <w:proofErr w:type="spellStart"/>
        <w:r w:rsidRPr="00E53C15">
          <w:rPr>
            <w:rFonts w:eastAsia="Times New Roman" w:cs="Times New Roman"/>
            <w:b/>
            <w:color w:val="AC6D14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3C15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Verdana" w:eastAsia="Times New Roman" w:hAnsi="Verdana" w:cs="Times New Roman"/>
          <w:b/>
          <w:lang w:eastAsia="ru-RU"/>
        </w:rPr>
        <w:t xml:space="preserve">                                  </w:t>
      </w:r>
      <w:r w:rsidRPr="00E53C15">
        <w:rPr>
          <w:rFonts w:eastAsia="Times New Roman" w:cs="Times New Roman"/>
          <w:sz w:val="20"/>
          <w:szCs w:val="20"/>
          <w:lang w:eastAsia="ru-RU"/>
        </w:rPr>
        <w:t xml:space="preserve">Председатель Совета директоров полиграфических предприятий: </w:t>
      </w:r>
      <w:proofErr w:type="gramStart"/>
      <w:r w:rsidRPr="00E53C15">
        <w:rPr>
          <w:rFonts w:eastAsia="Times New Roman" w:cs="Times New Roman"/>
          <w:sz w:val="20"/>
          <w:szCs w:val="20"/>
          <w:lang w:eastAsia="ru-RU"/>
        </w:rPr>
        <w:t>«Советская Сибирь» (Новосибирск), «Уральский рабочий» (Екатеринбург), «Звезда» (Пермь), «Тюменский дом печати», «Челябинский Дом печати», «Иркутский Дом печати», «Красное Знамя» (Томск).</w:t>
      </w:r>
      <w:proofErr w:type="gramEnd"/>
      <w:r>
        <w:rPr>
          <w:sz w:val="28"/>
          <w:szCs w:val="28"/>
        </w:rPr>
        <w:t xml:space="preserve">                                      </w:t>
      </w:r>
      <w:r w:rsidRPr="00E53C15">
        <w:rPr>
          <w:rFonts w:eastAsia="Times New Roman" w:cs="Times New Roman"/>
          <w:sz w:val="20"/>
          <w:szCs w:val="20"/>
          <w:lang w:eastAsia="ru-RU"/>
        </w:rPr>
        <w:t>Сертифицированный эксперт – консультант по маркетинговым исследованиям и анализу рынка, проведению аудита маркетинга и разработке рыночной стратегии.</w:t>
      </w:r>
    </w:p>
    <w:p w:rsidR="00E53C15" w:rsidRDefault="00E53C15" w:rsidP="00E53C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53C15" w:rsidRDefault="00592E80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Первый квартал 2016 года принес несколько хороших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макро-экономических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новостей. Первая – снизились темпы падения Валового Внутреннего Продукта.</w:t>
      </w:r>
      <w:r w:rsidR="00135EE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5EEE" w:rsidRPr="00135EEE">
        <w:rPr>
          <w:rFonts w:eastAsia="Times New Roman" w:cs="Times New Roman"/>
          <w:b/>
          <w:lang w:eastAsia="ru-RU"/>
        </w:rPr>
        <w:t>См. Диаграмму 1.</w:t>
      </w:r>
      <w:r w:rsidR="00135EEE">
        <w:rPr>
          <w:rFonts w:eastAsia="Times New Roman" w:cs="Times New Roman"/>
          <w:sz w:val="24"/>
          <w:szCs w:val="24"/>
          <w:lang w:eastAsia="ru-RU"/>
        </w:rPr>
        <w:t xml:space="preserve"> Конечно, данные пока сильно предварительные и еще не раз будут пересматриваться. Но факт останется фактом. Темпы снижения ключевого экономического показателя в 1-м кв. 2016 года уменьшились почти в три раза по сравнению с пиковыми значениями 2-го кв. 2015 года. И появляются шансы на выход показателя динамики ВВП в область положительных значений во втором и третьем кварталах. А это будет означать прекращение спада в </w:t>
      </w:r>
      <w:r w:rsidR="00FF5727">
        <w:rPr>
          <w:rFonts w:eastAsia="Times New Roman" w:cs="Times New Roman"/>
          <w:sz w:val="24"/>
          <w:szCs w:val="24"/>
          <w:lang w:eastAsia="ru-RU"/>
        </w:rPr>
        <w:t>российской экономике, и переход в фазу рецессии.</w:t>
      </w:r>
      <w:r w:rsidR="00135EE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92E80" w:rsidRPr="00FF2A3F" w:rsidRDefault="00592E80" w:rsidP="00E53C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F2A3F">
        <w:rPr>
          <w:rFonts w:eastAsia="Times New Roman" w:cs="Times New Roman"/>
          <w:b/>
          <w:sz w:val="24"/>
          <w:szCs w:val="24"/>
          <w:lang w:eastAsia="ru-RU"/>
        </w:rPr>
        <w:t>Диаграмма 1. Квартальные темпы роста (снижения) российского ВВП</w:t>
      </w:r>
      <w:r w:rsidR="002D46D3">
        <w:rPr>
          <w:rFonts w:eastAsia="Times New Roman" w:cs="Times New Roman"/>
          <w:b/>
          <w:sz w:val="24"/>
          <w:szCs w:val="24"/>
          <w:lang w:eastAsia="ru-RU"/>
        </w:rPr>
        <w:t>, 2012 – 2016</w:t>
      </w:r>
      <w:r w:rsidRPr="00FF2A3F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592E80" w:rsidRDefault="00FF2A3F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203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E80" w:rsidRPr="00FF2A3F" w:rsidRDefault="00592E80" w:rsidP="00E53C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F2A3F">
        <w:rPr>
          <w:rFonts w:eastAsia="Times New Roman" w:cs="Times New Roman"/>
          <w:b/>
          <w:sz w:val="24"/>
          <w:szCs w:val="24"/>
          <w:lang w:eastAsia="ru-RU"/>
        </w:rPr>
        <w:t>Источник - Росстат</w:t>
      </w:r>
    </w:p>
    <w:p w:rsidR="00A909E9" w:rsidRDefault="002D46D3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Вторая хорошая новость – Центральному Банку России (ЦБР) все же удалось снизить темпы рос</w:t>
      </w:r>
      <w:r w:rsidR="009F62AC">
        <w:rPr>
          <w:rFonts w:eastAsia="Times New Roman" w:cs="Times New Roman"/>
          <w:sz w:val="24"/>
          <w:szCs w:val="24"/>
          <w:lang w:eastAsia="ru-RU"/>
        </w:rPr>
        <w:t>та потребительской инфляции (в годовом выражении) до 7</w:t>
      </w:r>
      <w:r>
        <w:rPr>
          <w:rFonts w:eastAsia="Times New Roman" w:cs="Times New Roman"/>
          <w:sz w:val="24"/>
          <w:szCs w:val="24"/>
          <w:lang w:eastAsia="ru-RU"/>
        </w:rPr>
        <w:t>,5%</w:t>
      </w:r>
      <w:r w:rsidR="009F62AC">
        <w:rPr>
          <w:rFonts w:eastAsia="Times New Roman" w:cs="Times New Roman"/>
          <w:sz w:val="24"/>
          <w:szCs w:val="24"/>
          <w:lang w:eastAsia="ru-RU"/>
        </w:rPr>
        <w:t xml:space="preserve"> в марте и по итогам 1-го кв. 2016. Ци</w:t>
      </w:r>
      <w:r w:rsidR="00796BBE">
        <w:rPr>
          <w:rFonts w:eastAsia="Times New Roman" w:cs="Times New Roman"/>
          <w:sz w:val="24"/>
          <w:szCs w:val="24"/>
          <w:lang w:eastAsia="ru-RU"/>
        </w:rPr>
        <w:t>фра</w:t>
      </w:r>
      <w:r w:rsidR="009F62AC">
        <w:rPr>
          <w:rFonts w:eastAsia="Times New Roman" w:cs="Times New Roman"/>
          <w:sz w:val="24"/>
          <w:szCs w:val="24"/>
          <w:lang w:eastAsia="ru-RU"/>
        </w:rPr>
        <w:t>, конечно, высок</w:t>
      </w:r>
      <w:r w:rsidR="00796BBE">
        <w:rPr>
          <w:rFonts w:eastAsia="Times New Roman" w:cs="Times New Roman"/>
          <w:sz w:val="24"/>
          <w:szCs w:val="24"/>
          <w:lang w:eastAsia="ru-RU"/>
        </w:rPr>
        <w:t>ая</w:t>
      </w:r>
      <w:r w:rsidR="00A909E9">
        <w:rPr>
          <w:rFonts w:eastAsia="Times New Roman" w:cs="Times New Roman"/>
          <w:sz w:val="24"/>
          <w:szCs w:val="24"/>
          <w:lang w:eastAsia="ru-RU"/>
        </w:rPr>
        <w:t xml:space="preserve"> и пока еще д</w:t>
      </w:r>
      <w:r w:rsidR="006737FB">
        <w:rPr>
          <w:rFonts w:eastAsia="Times New Roman" w:cs="Times New Roman"/>
          <w:sz w:val="24"/>
          <w:szCs w:val="24"/>
          <w:lang w:eastAsia="ru-RU"/>
        </w:rPr>
        <w:t>алек</w:t>
      </w:r>
      <w:r w:rsidR="00796BBE">
        <w:rPr>
          <w:rFonts w:eastAsia="Times New Roman" w:cs="Times New Roman"/>
          <w:sz w:val="24"/>
          <w:szCs w:val="24"/>
          <w:lang w:eastAsia="ru-RU"/>
        </w:rPr>
        <w:t>ая</w:t>
      </w:r>
      <w:r w:rsidR="006737FB">
        <w:rPr>
          <w:rFonts w:eastAsia="Times New Roman" w:cs="Times New Roman"/>
          <w:sz w:val="24"/>
          <w:szCs w:val="24"/>
          <w:lang w:eastAsia="ru-RU"/>
        </w:rPr>
        <w:t xml:space="preserve"> от целевых ориентиров </w:t>
      </w:r>
      <w:r w:rsidR="00796BBE">
        <w:rPr>
          <w:rFonts w:eastAsia="Times New Roman" w:cs="Times New Roman"/>
          <w:sz w:val="24"/>
          <w:szCs w:val="24"/>
          <w:lang w:eastAsia="ru-RU"/>
        </w:rPr>
        <w:t xml:space="preserve">ЦБР </w:t>
      </w:r>
      <w:r w:rsidR="006737FB">
        <w:rPr>
          <w:rFonts w:eastAsia="Times New Roman" w:cs="Times New Roman"/>
          <w:sz w:val="24"/>
          <w:szCs w:val="24"/>
          <w:lang w:eastAsia="ru-RU"/>
        </w:rPr>
        <w:t>в 4</w:t>
      </w:r>
      <w:r w:rsidR="00A909E9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796BBE">
        <w:rPr>
          <w:rFonts w:eastAsia="Times New Roman" w:cs="Times New Roman"/>
          <w:sz w:val="24"/>
          <w:szCs w:val="24"/>
          <w:lang w:eastAsia="ru-RU"/>
        </w:rPr>
        <w:t xml:space="preserve"> 5</w:t>
      </w:r>
      <w:r w:rsidR="00A909E9">
        <w:rPr>
          <w:rFonts w:eastAsia="Times New Roman" w:cs="Times New Roman"/>
          <w:sz w:val="24"/>
          <w:szCs w:val="24"/>
          <w:lang w:eastAsia="ru-RU"/>
        </w:rPr>
        <w:t>% годовых. Но по сравнению с показателями 1-го кв. 2015 года</w:t>
      </w:r>
      <w:r w:rsidR="006737FB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6737FB" w:rsidRPr="006737FB">
        <w:rPr>
          <w:rFonts w:eastAsia="Times New Roman" w:cs="Times New Roman"/>
          <w:b/>
          <w:lang w:eastAsia="ru-RU"/>
        </w:rPr>
        <w:t>см. Диаграмму 2</w:t>
      </w:r>
      <w:r w:rsidR="00A909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37FB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A909E9">
        <w:rPr>
          <w:rFonts w:eastAsia="Times New Roman" w:cs="Times New Roman"/>
          <w:sz w:val="24"/>
          <w:szCs w:val="24"/>
          <w:lang w:eastAsia="ru-RU"/>
        </w:rPr>
        <w:t xml:space="preserve">налицо явный и существенный прогресс. Если </w:t>
      </w:r>
      <w:r w:rsidR="00796BBE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A909E9">
        <w:rPr>
          <w:rFonts w:eastAsia="Times New Roman" w:cs="Times New Roman"/>
          <w:sz w:val="24"/>
          <w:szCs w:val="24"/>
          <w:lang w:eastAsia="ru-RU"/>
        </w:rPr>
        <w:t>во втором квартале инфляцию удастся удерживать в пределах 7 – 8% в годовом выражении, то летом ЦБР сможет понизить ключевую ставку до 9 – 9,5% (</w:t>
      </w:r>
      <w:proofErr w:type="gramStart"/>
      <w:r w:rsidR="00A909E9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A909E9">
        <w:rPr>
          <w:rFonts w:eastAsia="Times New Roman" w:cs="Times New Roman"/>
          <w:sz w:val="24"/>
          <w:szCs w:val="24"/>
          <w:lang w:eastAsia="ru-RU"/>
        </w:rPr>
        <w:t xml:space="preserve"> нынешних 11%). А это приведет, в свою очередь, к снижению кредитных ставок для среднего бизнеса. И откроет возможности для прекращения инвестиционного спада. </w:t>
      </w:r>
    </w:p>
    <w:p w:rsidR="00592E80" w:rsidRDefault="00A909E9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Тем более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что денежная масса в реальном выражении растет с конца 2015 года. Т.е. создаются предпосылки для преодоления «денежного голода» экономики.</w:t>
      </w:r>
    </w:p>
    <w:p w:rsidR="006D3D7B" w:rsidRPr="006D3D7B" w:rsidRDefault="006D3D7B" w:rsidP="006D3D7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Диаграмма 2</w:t>
      </w:r>
      <w:r w:rsidRPr="006D3D7B">
        <w:rPr>
          <w:rFonts w:eastAsia="Times New Roman" w:cs="Times New Roman"/>
          <w:b/>
          <w:sz w:val="24"/>
          <w:szCs w:val="24"/>
          <w:lang w:eastAsia="ru-RU"/>
        </w:rPr>
        <w:t xml:space="preserve">. Квартальные темпы </w:t>
      </w:r>
      <w:r>
        <w:rPr>
          <w:rFonts w:eastAsia="Times New Roman" w:cs="Times New Roman"/>
          <w:b/>
          <w:sz w:val="24"/>
          <w:szCs w:val="24"/>
          <w:lang w:eastAsia="ru-RU"/>
        </w:rPr>
        <w:t>инфляции потребительского рынка</w:t>
      </w:r>
      <w:r w:rsidRPr="006D3D7B">
        <w:rPr>
          <w:rFonts w:eastAsia="Times New Roman" w:cs="Times New Roman"/>
          <w:b/>
          <w:sz w:val="24"/>
          <w:szCs w:val="24"/>
          <w:lang w:eastAsia="ru-RU"/>
        </w:rPr>
        <w:t>, 2012 – 2016.</w:t>
      </w:r>
    </w:p>
    <w:p w:rsidR="006D3D7B" w:rsidRPr="006D3D7B" w:rsidRDefault="006D3D7B" w:rsidP="006D3D7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3D7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54338" wp14:editId="7D4094BB">
            <wp:extent cx="5486400" cy="2720340"/>
            <wp:effectExtent l="0" t="0" r="1905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D7B" w:rsidRPr="006D3D7B" w:rsidRDefault="006D3D7B" w:rsidP="006D3D7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D3D7B">
        <w:rPr>
          <w:rFonts w:eastAsia="Times New Roman" w:cs="Times New Roman"/>
          <w:b/>
          <w:sz w:val="24"/>
          <w:szCs w:val="24"/>
          <w:lang w:eastAsia="ru-RU"/>
        </w:rPr>
        <w:t>Источник - Росстат</w:t>
      </w:r>
    </w:p>
    <w:p w:rsidR="00EC73C2" w:rsidRDefault="006737FB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Третья хорошая новость пришла из исследовательского холдинга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Ромир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 После</w:t>
      </w:r>
      <w:r w:rsidR="00EC73C2">
        <w:rPr>
          <w:rFonts w:eastAsia="Times New Roman" w:cs="Times New Roman"/>
          <w:sz w:val="24"/>
          <w:szCs w:val="24"/>
          <w:lang w:eastAsia="ru-RU"/>
        </w:rPr>
        <w:t xml:space="preserve"> девяти кварталов непрерывного снижения реальные повседневные расходы (продукты питания и непродовольственные товары повседневного спроса) населения России перестали снижаться. </w:t>
      </w:r>
      <w:r w:rsidR="00EC73C2" w:rsidRPr="00531622">
        <w:rPr>
          <w:rFonts w:eastAsia="Times New Roman" w:cs="Times New Roman"/>
          <w:b/>
          <w:lang w:eastAsia="ru-RU"/>
        </w:rPr>
        <w:t>См. Диаграмму 3.</w:t>
      </w:r>
    </w:p>
    <w:p w:rsidR="00EC73C2" w:rsidRPr="00EC73C2" w:rsidRDefault="00EC73C2" w:rsidP="00EC73C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C73C2">
        <w:rPr>
          <w:rFonts w:eastAsia="Times New Roman" w:cs="Times New Roman"/>
          <w:b/>
          <w:sz w:val="24"/>
          <w:szCs w:val="24"/>
          <w:lang w:eastAsia="ru-RU"/>
        </w:rPr>
        <w:t>Диаграмма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3</w:t>
      </w:r>
      <w:r w:rsidRPr="00EC73C2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Номинальные и реальные темпы роста (снижения) повседневных потребительских расходов, по кварталам 2012 – 2016, в % </w:t>
      </w:r>
    </w:p>
    <w:p w:rsidR="00EC73C2" w:rsidRPr="00EC73C2" w:rsidRDefault="00EC73C2" w:rsidP="00EC73C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C73C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C090D" wp14:editId="65741E13">
            <wp:extent cx="5486400" cy="3093720"/>
            <wp:effectExtent l="0" t="0" r="1905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73C2" w:rsidRPr="00EC73C2" w:rsidRDefault="00EC73C2" w:rsidP="00EC73C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C73C2">
        <w:rPr>
          <w:rFonts w:eastAsia="Times New Roman" w:cs="Times New Roman"/>
          <w:b/>
          <w:sz w:val="24"/>
          <w:szCs w:val="24"/>
          <w:lang w:eastAsia="ru-RU"/>
        </w:rPr>
        <w:t xml:space="preserve">Данные: </w:t>
      </w:r>
      <w:proofErr w:type="spellStart"/>
      <w:r w:rsidRPr="00EC73C2">
        <w:rPr>
          <w:rFonts w:eastAsia="Times New Roman" w:cs="Times New Roman"/>
          <w:b/>
          <w:sz w:val="24"/>
          <w:szCs w:val="24"/>
          <w:lang w:eastAsia="ru-RU"/>
        </w:rPr>
        <w:t>Ро</w:t>
      </w:r>
      <w:r>
        <w:rPr>
          <w:rFonts w:eastAsia="Times New Roman" w:cs="Times New Roman"/>
          <w:b/>
          <w:sz w:val="24"/>
          <w:szCs w:val="24"/>
          <w:lang w:eastAsia="ru-RU"/>
        </w:rPr>
        <w:t>мир</w:t>
      </w:r>
      <w:proofErr w:type="spellEnd"/>
      <w:r w:rsidRPr="00EC73C2">
        <w:rPr>
          <w:rFonts w:eastAsia="Times New Roman" w:cs="Times New Roman"/>
          <w:b/>
          <w:sz w:val="24"/>
          <w:szCs w:val="24"/>
          <w:lang w:eastAsia="ru-RU"/>
        </w:rPr>
        <w:t xml:space="preserve">, расчеты – Березин </w:t>
      </w:r>
      <w:proofErr w:type="gramStart"/>
      <w:r w:rsidRPr="00EC73C2">
        <w:rPr>
          <w:rFonts w:eastAsia="Times New Roman" w:cs="Times New Roman"/>
          <w:b/>
          <w:sz w:val="24"/>
          <w:szCs w:val="24"/>
          <w:lang w:eastAsia="ru-RU"/>
        </w:rPr>
        <w:t>И. С</w:t>
      </w:r>
      <w:proofErr w:type="gramEnd"/>
      <w:r w:rsidRPr="00EC73C2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6737FB" w:rsidRDefault="00531622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 этом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надо отметить, что</w:t>
      </w:r>
      <w:r w:rsidR="008735F1">
        <w:rPr>
          <w:rFonts w:eastAsia="Times New Roman" w:cs="Times New Roman"/>
          <w:sz w:val="24"/>
          <w:szCs w:val="24"/>
          <w:lang w:eastAsia="ru-RU"/>
        </w:rPr>
        <w:t xml:space="preserve"> доходы потребителей в номинальном выражении в 1-м кв. 2016 выросли только на </w:t>
      </w:r>
      <w:r w:rsidR="00796BBE">
        <w:rPr>
          <w:rFonts w:eastAsia="Times New Roman" w:cs="Times New Roman"/>
          <w:sz w:val="24"/>
          <w:szCs w:val="24"/>
          <w:lang w:eastAsia="ru-RU"/>
        </w:rPr>
        <w:t xml:space="preserve">4 – </w:t>
      </w:r>
      <w:r w:rsidR="008735F1">
        <w:rPr>
          <w:rFonts w:eastAsia="Times New Roman" w:cs="Times New Roman"/>
          <w:sz w:val="24"/>
          <w:szCs w:val="24"/>
          <w:lang w:eastAsia="ru-RU"/>
        </w:rPr>
        <w:t xml:space="preserve">4,5% по сравнению с 1-м кв. 2015, а в реальном (с поправкой на инфляцию) снизились на 3%. Сбережения населения в 1-м кв. 2016 продолжали расти высокими темпами. </w:t>
      </w:r>
      <w:r w:rsidR="00796BBE">
        <w:rPr>
          <w:rFonts w:eastAsia="Times New Roman" w:cs="Times New Roman"/>
          <w:sz w:val="24"/>
          <w:szCs w:val="24"/>
          <w:lang w:eastAsia="ru-RU"/>
        </w:rPr>
        <w:t xml:space="preserve">Только </w:t>
      </w:r>
      <w:r w:rsidR="00000981">
        <w:rPr>
          <w:rFonts w:eastAsia="Times New Roman" w:cs="Times New Roman"/>
          <w:sz w:val="24"/>
          <w:szCs w:val="24"/>
          <w:lang w:eastAsia="ru-RU"/>
        </w:rPr>
        <w:t xml:space="preserve">банковские депозиты выросли за год на 18%, и достигли 23 трлн. руб. </w:t>
      </w:r>
      <w:r w:rsidR="008735F1">
        <w:rPr>
          <w:rFonts w:eastAsia="Times New Roman" w:cs="Times New Roman"/>
          <w:sz w:val="24"/>
          <w:szCs w:val="24"/>
          <w:lang w:eastAsia="ru-RU"/>
        </w:rPr>
        <w:t>Так что рост повседневных расходов произошел преимущественно за счет сокращения расходов на оплату необязательных услуг типа путешествий и развлечений; а также за счет дальнейшего сокращения расходов на товары длительного пользования. Прежде всего – на легковые автомобили.</w:t>
      </w:r>
      <w:r w:rsidR="005B7C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B7CBB" w:rsidRPr="005B7CBB">
        <w:rPr>
          <w:rFonts w:eastAsia="Times New Roman" w:cs="Times New Roman"/>
          <w:b/>
          <w:lang w:eastAsia="ru-RU"/>
        </w:rPr>
        <w:t>См. Диаграмму 4.</w:t>
      </w:r>
    </w:p>
    <w:p w:rsidR="00326C4F" w:rsidRPr="00326C4F" w:rsidRDefault="00326C4F" w:rsidP="00326C4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Диаграмма 4</w:t>
      </w:r>
      <w:r w:rsidRPr="00326C4F">
        <w:rPr>
          <w:rFonts w:eastAsia="Times New Roman" w:cs="Times New Roman"/>
          <w:b/>
          <w:sz w:val="24"/>
          <w:szCs w:val="24"/>
          <w:lang w:eastAsia="ru-RU"/>
        </w:rPr>
        <w:t xml:space="preserve">. Квартальные темпы роста (снижения)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продаж легковых автомобилей </w:t>
      </w:r>
      <w:r w:rsidR="00084212">
        <w:rPr>
          <w:rFonts w:eastAsia="Times New Roman" w:cs="Times New Roman"/>
          <w:b/>
          <w:sz w:val="24"/>
          <w:szCs w:val="24"/>
          <w:lang w:eastAsia="ru-RU"/>
        </w:rPr>
        <w:t xml:space="preserve">в натуральном </w:t>
      </w:r>
      <w:proofErr w:type="gramStart"/>
      <w:r w:rsidR="00084212">
        <w:rPr>
          <w:rFonts w:eastAsia="Times New Roman" w:cs="Times New Roman"/>
          <w:b/>
          <w:sz w:val="24"/>
          <w:szCs w:val="24"/>
          <w:lang w:eastAsia="ru-RU"/>
        </w:rPr>
        <w:t>выражении</w:t>
      </w:r>
      <w:proofErr w:type="gramEnd"/>
      <w:r w:rsidR="00084212">
        <w:rPr>
          <w:rFonts w:eastAsia="Times New Roman" w:cs="Times New Roman"/>
          <w:b/>
          <w:sz w:val="24"/>
          <w:szCs w:val="24"/>
          <w:lang w:eastAsia="ru-RU"/>
        </w:rPr>
        <w:t xml:space="preserve"> (штуках) </w:t>
      </w:r>
      <w:r>
        <w:rPr>
          <w:rFonts w:eastAsia="Times New Roman" w:cs="Times New Roman"/>
          <w:b/>
          <w:sz w:val="24"/>
          <w:szCs w:val="24"/>
          <w:lang w:eastAsia="ru-RU"/>
        </w:rPr>
        <w:t>в России</w:t>
      </w:r>
      <w:r w:rsidRPr="00326C4F">
        <w:rPr>
          <w:rFonts w:eastAsia="Times New Roman" w:cs="Times New Roman"/>
          <w:b/>
          <w:sz w:val="24"/>
          <w:szCs w:val="24"/>
          <w:lang w:eastAsia="ru-RU"/>
        </w:rPr>
        <w:t>, 2012 – 2016.</w:t>
      </w:r>
    </w:p>
    <w:p w:rsidR="00326C4F" w:rsidRPr="00326C4F" w:rsidRDefault="00326C4F" w:rsidP="00326C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26C4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52EC3" wp14:editId="479FB2E0">
            <wp:extent cx="5486400" cy="2720340"/>
            <wp:effectExtent l="0" t="0" r="1905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6C4F" w:rsidRPr="00326C4F" w:rsidRDefault="00326C4F" w:rsidP="00326C4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26C4F">
        <w:rPr>
          <w:rFonts w:eastAsia="Times New Roman" w:cs="Times New Roman"/>
          <w:b/>
          <w:sz w:val="24"/>
          <w:szCs w:val="24"/>
          <w:lang w:eastAsia="ru-RU"/>
        </w:rPr>
        <w:t xml:space="preserve">Источник </w:t>
      </w:r>
      <w:r>
        <w:rPr>
          <w:rFonts w:eastAsia="Times New Roman" w:cs="Times New Roman"/>
          <w:b/>
          <w:sz w:val="24"/>
          <w:szCs w:val="24"/>
          <w:lang w:eastAsia="ru-RU"/>
        </w:rPr>
        <w:t>–</w:t>
      </w:r>
      <w:r w:rsidRPr="00326C4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Комитет автопроизводителей Ассоциации Европейского Бизнеса (АЕБ)</w:t>
      </w:r>
    </w:p>
    <w:p w:rsidR="006737FB" w:rsidRDefault="003E0972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Впрочем, даже 17</w:t>
      </w:r>
      <w:r w:rsidR="00000981">
        <w:rPr>
          <w:rFonts w:eastAsia="Times New Roman" w:cs="Times New Roman"/>
          <w:sz w:val="24"/>
          <w:szCs w:val="24"/>
          <w:lang w:eastAsia="ru-RU"/>
        </w:rPr>
        <w:t xml:space="preserve">% снижения продаж новых автомобилей в 1-м кв. 2016 по сравнению с 1-м кв. 2015 смотрится не так уж страшно на </w:t>
      </w:r>
      <w:proofErr w:type="gramStart"/>
      <w:r w:rsidR="00000981">
        <w:rPr>
          <w:rFonts w:eastAsia="Times New Roman" w:cs="Times New Roman"/>
          <w:sz w:val="24"/>
          <w:szCs w:val="24"/>
          <w:lang w:eastAsia="ru-RU"/>
        </w:rPr>
        <w:t>фоне</w:t>
      </w:r>
      <w:proofErr w:type="gramEnd"/>
      <w:r w:rsidR="00000981">
        <w:rPr>
          <w:rFonts w:eastAsia="Times New Roman" w:cs="Times New Roman"/>
          <w:sz w:val="24"/>
          <w:szCs w:val="24"/>
          <w:lang w:eastAsia="ru-RU"/>
        </w:rPr>
        <w:t xml:space="preserve"> прошлогодних показателей в минус 40%. Тем более что рост средней цены нового автомобиля в значительной степени компенсировал снижение продаж в натуральном выражении. И в стоимостном рублевом </w:t>
      </w:r>
      <w:proofErr w:type="gramStart"/>
      <w:r w:rsidR="00000981">
        <w:rPr>
          <w:rFonts w:eastAsia="Times New Roman" w:cs="Times New Roman"/>
          <w:sz w:val="24"/>
          <w:szCs w:val="24"/>
          <w:lang w:eastAsia="ru-RU"/>
        </w:rPr>
        <w:t>объеме</w:t>
      </w:r>
      <w:proofErr w:type="gramEnd"/>
      <w:r w:rsidR="00000981">
        <w:rPr>
          <w:rFonts w:eastAsia="Times New Roman" w:cs="Times New Roman"/>
          <w:sz w:val="24"/>
          <w:szCs w:val="24"/>
          <w:lang w:eastAsia="ru-RU"/>
        </w:rPr>
        <w:t xml:space="preserve"> рынок автомобилей в 1-м кв. 2016 снизился всего на 4 – 7%.</w:t>
      </w:r>
    </w:p>
    <w:p w:rsidR="00000981" w:rsidRDefault="00000981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Конечно, все эти цифры еще не говорят о прекращении экономического спада, и уж тем более – о возобновлении роста.</w:t>
      </w:r>
      <w:r w:rsidR="00777676">
        <w:rPr>
          <w:rFonts w:eastAsia="Times New Roman" w:cs="Times New Roman"/>
          <w:sz w:val="24"/>
          <w:szCs w:val="24"/>
          <w:lang w:eastAsia="ru-RU"/>
        </w:rPr>
        <w:t xml:space="preserve"> Но </w:t>
      </w:r>
      <w:proofErr w:type="gramStart"/>
      <w:r w:rsidR="00777676">
        <w:rPr>
          <w:rFonts w:eastAsia="Times New Roman" w:cs="Times New Roman"/>
          <w:sz w:val="24"/>
          <w:szCs w:val="24"/>
          <w:lang w:eastAsia="ru-RU"/>
        </w:rPr>
        <w:t>то</w:t>
      </w:r>
      <w:proofErr w:type="gramEnd"/>
      <w:r w:rsidR="00777676">
        <w:rPr>
          <w:rFonts w:eastAsia="Times New Roman" w:cs="Times New Roman"/>
          <w:sz w:val="24"/>
          <w:szCs w:val="24"/>
          <w:lang w:eastAsia="ru-RU"/>
        </w:rPr>
        <w:t xml:space="preserve"> что предпосылки для такого разворота к началу 2-го кв. 2016 сложились достаточно очевидно. Тем более на фоне возвращения цены нефти марки </w:t>
      </w:r>
      <w:proofErr w:type="spellStart"/>
      <w:r w:rsidR="00777676">
        <w:rPr>
          <w:rFonts w:eastAsia="Times New Roman" w:cs="Times New Roman"/>
          <w:sz w:val="24"/>
          <w:szCs w:val="24"/>
          <w:lang w:eastAsia="ru-RU"/>
        </w:rPr>
        <w:t>Брент</w:t>
      </w:r>
      <w:proofErr w:type="spellEnd"/>
      <w:r w:rsidR="00777676">
        <w:rPr>
          <w:rFonts w:eastAsia="Times New Roman" w:cs="Times New Roman"/>
          <w:sz w:val="24"/>
          <w:szCs w:val="24"/>
          <w:lang w:eastAsia="ru-RU"/>
        </w:rPr>
        <w:t xml:space="preserve"> к 40 дол</w:t>
      </w:r>
      <w:proofErr w:type="gramStart"/>
      <w:r w:rsidR="0077767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77767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777676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="00777676">
        <w:rPr>
          <w:rFonts w:eastAsia="Times New Roman" w:cs="Times New Roman"/>
          <w:sz w:val="24"/>
          <w:szCs w:val="24"/>
          <w:lang w:eastAsia="ru-RU"/>
        </w:rPr>
        <w:t>а баррель и укрепления рубля до 67 – 68 рублей за дол. США.</w:t>
      </w:r>
    </w:p>
    <w:p w:rsidR="00777676" w:rsidRDefault="00777676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 это означает, что уже во 2-м полугодии отдельные сегменты крупных потребительских рынков могут пойти в рост. Конечно, этот рост не будет таким фронтальным как в 2010 – 2012 гг., и уж тем более не будет напоминать «ралли» 2001 – 2008 гг. Плоды этого гипотетического роста достанутся только тем компаниям, которые сумеют к этому росту подготовиться. Чего можно ожидать на мебельном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рынке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? Общим местом является тезис о том, что основным драйвером мебельного рынка является рынок жилья. Поэтому сначала посмотрим на ситуацию в этой сфере.</w:t>
      </w:r>
    </w:p>
    <w:p w:rsidR="006737FB" w:rsidRPr="00E53C15" w:rsidRDefault="006737FB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53C15" w:rsidRPr="00E53C15" w:rsidRDefault="00E9021E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Спад в жилищном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строительстве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начался только в 1-м кв. 2016. По предварительным данным объемы ввода нового жилья сократились на 15 – 17% к сопоставимому периоду предыдущего года. И даже если по итогам года это отставание наверстать не удастся, можно будет ожидать ввода в 2016 году 70 млн. кв. м. нового жилья.</w:t>
      </w:r>
      <w:r w:rsidR="00A8033D">
        <w:rPr>
          <w:rFonts w:eastAsia="Times New Roman" w:cs="Times New Roman"/>
          <w:sz w:val="24"/>
          <w:szCs w:val="24"/>
          <w:lang w:eastAsia="ru-RU"/>
        </w:rPr>
        <w:t xml:space="preserve"> Это будет четвертый по величине результат за </w:t>
      </w:r>
      <w:proofErr w:type="gramStart"/>
      <w:r w:rsidR="00A8033D">
        <w:rPr>
          <w:rFonts w:eastAsia="Times New Roman" w:cs="Times New Roman"/>
          <w:sz w:val="24"/>
          <w:szCs w:val="24"/>
          <w:lang w:eastAsia="ru-RU"/>
        </w:rPr>
        <w:t>последние</w:t>
      </w:r>
      <w:proofErr w:type="gramEnd"/>
      <w:r w:rsidR="00A8033D">
        <w:rPr>
          <w:rFonts w:eastAsia="Times New Roman" w:cs="Times New Roman"/>
          <w:sz w:val="24"/>
          <w:szCs w:val="24"/>
          <w:lang w:eastAsia="ru-RU"/>
        </w:rPr>
        <w:t xml:space="preserve"> 30 – 50 лет. А с учетом того, что средний размер нового жилья устойчиво снижается, причем последние три года – ускоренными темпами – </w:t>
      </w:r>
      <w:r w:rsidR="00A8033D" w:rsidRPr="00A8033D">
        <w:rPr>
          <w:rFonts w:eastAsia="Times New Roman" w:cs="Times New Roman"/>
          <w:b/>
          <w:lang w:eastAsia="ru-RU"/>
        </w:rPr>
        <w:t xml:space="preserve">см. Диаграмму 5 </w:t>
      </w:r>
      <w:r w:rsidR="00A8033D">
        <w:rPr>
          <w:rFonts w:eastAsia="Times New Roman" w:cs="Times New Roman"/>
          <w:sz w:val="24"/>
          <w:szCs w:val="24"/>
          <w:lang w:eastAsia="ru-RU"/>
        </w:rPr>
        <w:t xml:space="preserve">– можно ожидать, что и в 2016 году будет введено более миллиона новых квартир (домов на </w:t>
      </w:r>
      <w:r w:rsidR="00C46912">
        <w:rPr>
          <w:rFonts w:eastAsia="Times New Roman" w:cs="Times New Roman"/>
          <w:sz w:val="24"/>
          <w:szCs w:val="24"/>
          <w:lang w:eastAsia="ru-RU"/>
        </w:rPr>
        <w:t>одну семью). Как это было в 2013</w:t>
      </w:r>
      <w:r w:rsidR="00A8033D">
        <w:rPr>
          <w:rFonts w:eastAsia="Times New Roman" w:cs="Times New Roman"/>
          <w:sz w:val="24"/>
          <w:szCs w:val="24"/>
          <w:lang w:eastAsia="ru-RU"/>
        </w:rPr>
        <w:t xml:space="preserve"> – 2015 гг.</w:t>
      </w:r>
    </w:p>
    <w:p w:rsidR="00E53C15" w:rsidRPr="005E125A" w:rsidRDefault="00084212" w:rsidP="00E53C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Диаграмма 5</w:t>
      </w:r>
      <w:r w:rsidR="00E53C15" w:rsidRPr="005E125A">
        <w:rPr>
          <w:rFonts w:eastAsia="Times New Roman" w:cs="Times New Roman"/>
          <w:b/>
          <w:sz w:val="24"/>
          <w:szCs w:val="24"/>
          <w:lang w:eastAsia="ru-RU"/>
        </w:rPr>
        <w:t xml:space="preserve">. Ввод жилья </w:t>
      </w:r>
      <w:r w:rsidR="000E46B8" w:rsidRPr="005E125A">
        <w:rPr>
          <w:rFonts w:eastAsia="Times New Roman" w:cs="Times New Roman"/>
          <w:b/>
          <w:sz w:val="24"/>
          <w:szCs w:val="24"/>
          <w:lang w:eastAsia="ru-RU"/>
        </w:rPr>
        <w:t>и средний размер новой «квартиры» 2006 – 2015</w:t>
      </w:r>
    </w:p>
    <w:p w:rsidR="00E53C15" w:rsidRDefault="000E46B8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3C15" w:rsidRPr="005E125A" w:rsidRDefault="000E46B8" w:rsidP="00E53C1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E125A">
        <w:rPr>
          <w:rFonts w:eastAsia="Times New Roman" w:cs="Times New Roman"/>
          <w:b/>
          <w:sz w:val="24"/>
          <w:szCs w:val="24"/>
          <w:lang w:eastAsia="ru-RU"/>
        </w:rPr>
        <w:t xml:space="preserve">Данные: Росстат, расчеты – Березин </w:t>
      </w:r>
      <w:proofErr w:type="gramStart"/>
      <w:r w:rsidRPr="005E125A">
        <w:rPr>
          <w:rFonts w:eastAsia="Times New Roman" w:cs="Times New Roman"/>
          <w:b/>
          <w:sz w:val="24"/>
          <w:szCs w:val="24"/>
          <w:lang w:eastAsia="ru-RU"/>
        </w:rPr>
        <w:t>И. С</w:t>
      </w:r>
      <w:proofErr w:type="gramEnd"/>
      <w:r w:rsidRPr="005E125A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983EB6" w:rsidRDefault="00A8033D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 последнем обстоятельстве хотелось бы остановиться подробнее. Потому что оно важно как раз в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контексте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потенциального спроса на мебель.</w:t>
      </w:r>
      <w:r w:rsidR="00404AF4">
        <w:rPr>
          <w:rFonts w:eastAsia="Times New Roman" w:cs="Times New Roman"/>
          <w:sz w:val="24"/>
          <w:szCs w:val="24"/>
          <w:lang w:eastAsia="ru-RU"/>
        </w:rPr>
        <w:t xml:space="preserve"> Что означает снижение</w:t>
      </w:r>
      <w:r w:rsidR="00760469">
        <w:rPr>
          <w:rFonts w:eastAsia="Times New Roman" w:cs="Times New Roman"/>
          <w:sz w:val="24"/>
          <w:szCs w:val="24"/>
          <w:lang w:eastAsia="ru-RU"/>
        </w:rPr>
        <w:t xml:space="preserve"> среднего размера нового жилья? Это может происходить по двум причинам. Первая – снижение площадей возводимых одно-, дву</w:t>
      </w:r>
      <w:proofErr w:type="gramStart"/>
      <w:r w:rsidR="00760469">
        <w:rPr>
          <w:rFonts w:eastAsia="Times New Roman" w:cs="Times New Roman"/>
          <w:sz w:val="24"/>
          <w:szCs w:val="24"/>
          <w:lang w:eastAsia="ru-RU"/>
        </w:rPr>
        <w:t>х-</w:t>
      </w:r>
      <w:proofErr w:type="gramEnd"/>
      <w:r w:rsidR="00760469">
        <w:rPr>
          <w:rFonts w:eastAsia="Times New Roman" w:cs="Times New Roman"/>
          <w:sz w:val="24"/>
          <w:szCs w:val="24"/>
          <w:lang w:eastAsia="ru-RU"/>
        </w:rPr>
        <w:t xml:space="preserve"> и трехкомнатных квартир. Т.е. новые квартиры – менее габаритные по сравнению с теми, что возводились в 2005 – 2012 гг. Вторая причина – в </w:t>
      </w:r>
      <w:proofErr w:type="gramStart"/>
      <w:r w:rsidR="00760469">
        <w:rPr>
          <w:rFonts w:eastAsia="Times New Roman" w:cs="Times New Roman"/>
          <w:sz w:val="24"/>
          <w:szCs w:val="24"/>
          <w:lang w:eastAsia="ru-RU"/>
        </w:rPr>
        <w:t>общем</w:t>
      </w:r>
      <w:proofErr w:type="gramEnd"/>
      <w:r w:rsidR="00760469">
        <w:rPr>
          <w:rFonts w:eastAsia="Times New Roman" w:cs="Times New Roman"/>
          <w:sz w:val="24"/>
          <w:szCs w:val="24"/>
          <w:lang w:eastAsia="ru-RU"/>
        </w:rPr>
        <w:t xml:space="preserve"> объеме нового строительства увеличивается доля однокомнатных квартир и снижается доля трех и четырехкомнатных. Доля пятикомнатных квартир ис</w:t>
      </w:r>
      <w:r w:rsidR="00C46912">
        <w:rPr>
          <w:rFonts w:eastAsia="Times New Roman" w:cs="Times New Roman"/>
          <w:sz w:val="24"/>
          <w:szCs w:val="24"/>
          <w:lang w:eastAsia="ru-RU"/>
        </w:rPr>
        <w:t>торически никогда не превышала 0,5</w:t>
      </w:r>
      <w:r w:rsidR="00760469">
        <w:rPr>
          <w:rFonts w:eastAsia="Times New Roman" w:cs="Times New Roman"/>
          <w:sz w:val="24"/>
          <w:szCs w:val="24"/>
          <w:lang w:eastAsia="ru-RU"/>
        </w:rPr>
        <w:t>% ввода, так что о них и говорить нечего. В последние два года действуют обе тенденции одновременно. Т.е. на рынок поступает относительно много – по миллиону новых квартир в год, большая часть из которых малогабаритные. Более того, средний размер «нового жилья» рассчитывается с учетом как городских квартир, так и загородных домов</w:t>
      </w:r>
      <w:r w:rsidR="003011A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3011AC">
        <w:rPr>
          <w:rFonts w:eastAsia="Times New Roman" w:cs="Times New Roman"/>
          <w:sz w:val="24"/>
          <w:szCs w:val="24"/>
          <w:lang w:eastAsia="ru-RU"/>
        </w:rPr>
        <w:t>Средний размер загородного дома практически не меняется последние 12 – 15 лет.</w:t>
      </w:r>
      <w:proofErr w:type="gramEnd"/>
      <w:r w:rsidR="003011AC">
        <w:rPr>
          <w:rFonts w:eastAsia="Times New Roman" w:cs="Times New Roman"/>
          <w:sz w:val="24"/>
          <w:szCs w:val="24"/>
          <w:lang w:eastAsia="ru-RU"/>
        </w:rPr>
        <w:t xml:space="preserve"> И составляет около 120 кв. м. И понятно почему. В загородном строительстве </w:t>
      </w:r>
      <w:r w:rsidR="00983EB6">
        <w:rPr>
          <w:rFonts w:eastAsia="Times New Roman" w:cs="Times New Roman"/>
          <w:sz w:val="24"/>
          <w:szCs w:val="24"/>
          <w:lang w:eastAsia="ru-RU"/>
        </w:rPr>
        <w:t>ограничивающим</w:t>
      </w:r>
      <w:r w:rsidR="00C46912">
        <w:rPr>
          <w:rFonts w:eastAsia="Times New Roman" w:cs="Times New Roman"/>
          <w:sz w:val="24"/>
          <w:szCs w:val="24"/>
          <w:lang w:eastAsia="ru-RU"/>
        </w:rPr>
        <w:t>и</w:t>
      </w:r>
      <w:r w:rsidR="00983EB6">
        <w:rPr>
          <w:rFonts w:eastAsia="Times New Roman" w:cs="Times New Roman"/>
          <w:sz w:val="24"/>
          <w:szCs w:val="24"/>
          <w:lang w:eastAsia="ru-RU"/>
        </w:rPr>
        <w:t xml:space="preserve"> фа</w:t>
      </w:r>
      <w:r w:rsidR="003011AC">
        <w:rPr>
          <w:rFonts w:eastAsia="Times New Roman" w:cs="Times New Roman"/>
          <w:sz w:val="24"/>
          <w:szCs w:val="24"/>
          <w:lang w:eastAsia="ru-RU"/>
        </w:rPr>
        <w:t>к</w:t>
      </w:r>
      <w:r w:rsidR="00983EB6">
        <w:rPr>
          <w:rFonts w:eastAsia="Times New Roman" w:cs="Times New Roman"/>
          <w:sz w:val="24"/>
          <w:szCs w:val="24"/>
          <w:lang w:eastAsia="ru-RU"/>
        </w:rPr>
        <w:t>тор</w:t>
      </w:r>
      <w:r w:rsidR="003011AC">
        <w:rPr>
          <w:rFonts w:eastAsia="Times New Roman" w:cs="Times New Roman"/>
          <w:sz w:val="24"/>
          <w:szCs w:val="24"/>
          <w:lang w:eastAsia="ru-RU"/>
        </w:rPr>
        <w:t>ами являются: расположение, размер (и</w:t>
      </w:r>
      <w:r w:rsidR="00983EB6">
        <w:rPr>
          <w:rFonts w:eastAsia="Times New Roman" w:cs="Times New Roman"/>
          <w:sz w:val="24"/>
          <w:szCs w:val="24"/>
          <w:lang w:eastAsia="ru-RU"/>
        </w:rPr>
        <w:t xml:space="preserve"> стоимость</w:t>
      </w:r>
      <w:r w:rsidR="003011AC">
        <w:rPr>
          <w:rFonts w:eastAsia="Times New Roman" w:cs="Times New Roman"/>
          <w:sz w:val="24"/>
          <w:szCs w:val="24"/>
          <w:lang w:eastAsia="ru-RU"/>
        </w:rPr>
        <w:t>)</w:t>
      </w:r>
      <w:r w:rsidR="00983EB6">
        <w:rPr>
          <w:rFonts w:eastAsia="Times New Roman" w:cs="Times New Roman"/>
          <w:sz w:val="24"/>
          <w:szCs w:val="24"/>
          <w:lang w:eastAsia="ru-RU"/>
        </w:rPr>
        <w:t xml:space="preserve"> зем</w:t>
      </w:r>
      <w:r w:rsidR="003011AC">
        <w:rPr>
          <w:rFonts w:eastAsia="Times New Roman" w:cs="Times New Roman"/>
          <w:sz w:val="24"/>
          <w:szCs w:val="24"/>
          <w:lang w:eastAsia="ru-RU"/>
        </w:rPr>
        <w:t>ельного участка и подключение коммуникаций.</w:t>
      </w:r>
      <w:r w:rsidR="00983E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11AC">
        <w:rPr>
          <w:rFonts w:eastAsia="Times New Roman" w:cs="Times New Roman"/>
          <w:sz w:val="24"/>
          <w:szCs w:val="24"/>
          <w:lang w:eastAsia="ru-RU"/>
        </w:rPr>
        <w:t>При этом</w:t>
      </w:r>
      <w:r w:rsidR="00983EB6">
        <w:rPr>
          <w:rFonts w:eastAsia="Times New Roman" w:cs="Times New Roman"/>
          <w:sz w:val="24"/>
          <w:szCs w:val="24"/>
          <w:lang w:eastAsia="ru-RU"/>
        </w:rPr>
        <w:t xml:space="preserve"> даже на </w:t>
      </w:r>
      <w:r w:rsidR="003011AC">
        <w:rPr>
          <w:rFonts w:eastAsia="Times New Roman" w:cs="Times New Roman"/>
          <w:sz w:val="24"/>
          <w:szCs w:val="24"/>
          <w:lang w:eastAsia="ru-RU"/>
        </w:rPr>
        <w:t>3</w:t>
      </w:r>
      <w:r w:rsidR="00983EB6">
        <w:rPr>
          <w:rFonts w:eastAsia="Times New Roman" w:cs="Times New Roman"/>
          <w:sz w:val="24"/>
          <w:szCs w:val="24"/>
          <w:lang w:eastAsia="ru-RU"/>
        </w:rPr>
        <w:t xml:space="preserve"> сотках можно взвести дом в </w:t>
      </w:r>
      <w:r w:rsidR="003011AC">
        <w:rPr>
          <w:rFonts w:eastAsia="Times New Roman" w:cs="Times New Roman"/>
          <w:sz w:val="24"/>
          <w:szCs w:val="24"/>
          <w:lang w:eastAsia="ru-RU"/>
        </w:rPr>
        <w:t>5</w:t>
      </w:r>
      <w:r w:rsidR="00983EB6">
        <w:rPr>
          <w:rFonts w:eastAsia="Times New Roman" w:cs="Times New Roman"/>
          <w:sz w:val="24"/>
          <w:szCs w:val="24"/>
          <w:lang w:eastAsia="ru-RU"/>
        </w:rPr>
        <w:t>00 кв. м.</w:t>
      </w:r>
      <w:r w:rsidR="003011AC">
        <w:rPr>
          <w:rFonts w:eastAsia="Times New Roman" w:cs="Times New Roman"/>
          <w:sz w:val="24"/>
          <w:szCs w:val="24"/>
          <w:lang w:eastAsia="ru-RU"/>
        </w:rPr>
        <w:t>, а стоимость подключения воды, канализации и электричества от размеров дома практически не зависит. Так что снижение метража коснулось исключительно городских квартир.</w:t>
      </w:r>
    </w:p>
    <w:p w:rsidR="00E53C15" w:rsidRDefault="00C46912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В 2015 году рынок мебели пережил очередное драматическое снижение. Согласно разрозненным экспертным оценкам (достоверной статистики по продажам мебели как не было все эти годы, так и нет) в натуральном выражении рынок сократился на 35 – 45%, а в стоимостном – на 25 – 30%. До 250 – 270 млрд. руб. в розничных продажах. Таким образом</w:t>
      </w:r>
      <w:r w:rsidR="00A67668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на долю мебели в 2015 году пришлось около 1</w:t>
      </w:r>
      <w:r w:rsidR="000B1854">
        <w:rPr>
          <w:rFonts w:eastAsia="Times New Roman" w:cs="Times New Roman"/>
          <w:sz w:val="24"/>
          <w:szCs w:val="24"/>
          <w:lang w:eastAsia="ru-RU"/>
        </w:rPr>
        <w:t xml:space="preserve">% розничного товарооборота и 0,7% от совокупных потребительских расходов населения. </w:t>
      </w:r>
      <w:r w:rsidR="000B1854" w:rsidRPr="000B1854">
        <w:rPr>
          <w:rFonts w:eastAsia="Times New Roman" w:cs="Times New Roman"/>
          <w:b/>
          <w:lang w:eastAsia="ru-RU"/>
        </w:rPr>
        <w:t>См. Диаграмму 6</w:t>
      </w:r>
      <w:r w:rsidR="000B1854">
        <w:rPr>
          <w:rFonts w:eastAsia="Times New Roman" w:cs="Times New Roman"/>
          <w:sz w:val="24"/>
          <w:szCs w:val="24"/>
          <w:lang w:eastAsia="ru-RU"/>
        </w:rPr>
        <w:t>. За 10 лет доля расходов на приобретение мебели в совокупных потребительских расходах снизилась более чем в три раза. И если 10 лет назад она была в 1,5 раза выше «нормы», то теперь она в два раза ниже статистической «нормы».</w:t>
      </w:r>
    </w:p>
    <w:p w:rsidR="000B1854" w:rsidRPr="00A67668" w:rsidRDefault="000B1854" w:rsidP="00E53C15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A67668">
        <w:rPr>
          <w:rFonts w:eastAsia="Times New Roman" w:cs="Times New Roman"/>
          <w:b/>
          <w:lang w:eastAsia="ru-RU"/>
        </w:rPr>
        <w:t>Под статистической «нормой» специалисты по</w:t>
      </w:r>
      <w:r w:rsidR="00A67668" w:rsidRPr="00A67668">
        <w:rPr>
          <w:rFonts w:eastAsia="Times New Roman" w:cs="Times New Roman"/>
          <w:b/>
          <w:lang w:eastAsia="ru-RU"/>
        </w:rPr>
        <w:t xml:space="preserve"> структуре потребления понимают среднее значение, рассчитанное в 2005 – 2010 гг. по данным нескольких исследований, проведенных в Бразилии, Индии, Китае и России (страны БРИК). Согласно этим расчетам на долю мебели и техники для дома приходилось 5 – 6% общего объема потребительских расходов в указанных странах. Из </w:t>
      </w:r>
      <w:proofErr w:type="gramStart"/>
      <w:r w:rsidR="00A67668" w:rsidRPr="00A67668">
        <w:rPr>
          <w:rFonts w:eastAsia="Times New Roman" w:cs="Times New Roman"/>
          <w:b/>
          <w:lang w:eastAsia="ru-RU"/>
        </w:rPr>
        <w:t>которых</w:t>
      </w:r>
      <w:proofErr w:type="gramEnd"/>
      <w:r w:rsidR="00A67668" w:rsidRPr="00A67668">
        <w:rPr>
          <w:rFonts w:eastAsia="Times New Roman" w:cs="Times New Roman"/>
          <w:b/>
          <w:lang w:eastAsia="ru-RU"/>
        </w:rPr>
        <w:t xml:space="preserve"> 1,5 – 2% приходилось на долю мебели и 3,5 – 4% на долю бытовой техники.</w:t>
      </w:r>
    </w:p>
    <w:p w:rsidR="00A67668" w:rsidRDefault="00A67668" w:rsidP="00E53C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Исходя из этих оценок мы можем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сделать вывод о том, что при возвращении к статистической «норме» российский рынок мебели имеет потенциал как минимум двукратного (в рублях) роста в ближайшей перспективе. При ожидаемом в 2017 году уровне совокупных потребительских расходов в 40 – 41 трлн. руб.</w:t>
      </w:r>
      <w:r w:rsidR="00B10F9F">
        <w:rPr>
          <w:rFonts w:eastAsia="Times New Roman" w:cs="Times New Roman"/>
          <w:sz w:val="24"/>
          <w:szCs w:val="24"/>
          <w:lang w:eastAsia="ru-RU"/>
        </w:rPr>
        <w:t xml:space="preserve"> объем расходов на мебель «должен» составлять как минимум 500 – 600 млрд. руб. в год. Означает ли это, что </w:t>
      </w:r>
      <w:proofErr w:type="gramStart"/>
      <w:r w:rsidR="00B10F9F">
        <w:rPr>
          <w:rFonts w:eastAsia="Times New Roman" w:cs="Times New Roman"/>
          <w:sz w:val="24"/>
          <w:szCs w:val="24"/>
          <w:lang w:eastAsia="ru-RU"/>
        </w:rPr>
        <w:t>такой</w:t>
      </w:r>
      <w:proofErr w:type="gramEnd"/>
      <w:r w:rsidR="00B10F9F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10F9F">
        <w:rPr>
          <w:rFonts w:eastAsia="Times New Roman" w:cs="Times New Roman"/>
          <w:sz w:val="24"/>
          <w:szCs w:val="24"/>
          <w:lang w:eastAsia="ru-RU"/>
        </w:rPr>
        <w:t>камбэк</w:t>
      </w:r>
      <w:proofErr w:type="spellEnd"/>
      <w:r w:rsidR="00B10F9F">
        <w:rPr>
          <w:rFonts w:eastAsia="Times New Roman" w:cs="Times New Roman"/>
          <w:sz w:val="24"/>
          <w:szCs w:val="24"/>
          <w:lang w:eastAsia="ru-RU"/>
        </w:rPr>
        <w:t xml:space="preserve">» обязательно произойдет? И произойдет «автоматически»? </w:t>
      </w:r>
    </w:p>
    <w:p w:rsidR="007C7B32" w:rsidRPr="007C7B32" w:rsidRDefault="007C7B32" w:rsidP="007C7B32">
      <w:pPr>
        <w:rPr>
          <w:b/>
          <w:sz w:val="24"/>
          <w:szCs w:val="24"/>
        </w:rPr>
      </w:pPr>
      <w:r w:rsidRPr="007C7B32">
        <w:rPr>
          <w:b/>
          <w:sz w:val="24"/>
          <w:szCs w:val="24"/>
        </w:rPr>
        <w:t xml:space="preserve">Диаграмма 6. Доля расходов на мебель в совокупных потребительских </w:t>
      </w:r>
      <w:proofErr w:type="gramStart"/>
      <w:r w:rsidRPr="007C7B32">
        <w:rPr>
          <w:b/>
          <w:sz w:val="24"/>
          <w:szCs w:val="24"/>
        </w:rPr>
        <w:t>расходах</w:t>
      </w:r>
      <w:proofErr w:type="gramEnd"/>
      <w:r w:rsidRPr="007C7B32">
        <w:rPr>
          <w:b/>
          <w:sz w:val="24"/>
          <w:szCs w:val="24"/>
        </w:rPr>
        <w:t xml:space="preserve"> россиян. 2006 – 2015</w:t>
      </w:r>
      <w:r>
        <w:rPr>
          <w:b/>
          <w:sz w:val="24"/>
          <w:szCs w:val="24"/>
        </w:rPr>
        <w:t>, %</w:t>
      </w:r>
    </w:p>
    <w:p w:rsidR="007C7B32" w:rsidRPr="007C7B32" w:rsidRDefault="007C7B32" w:rsidP="007C7B32">
      <w:pPr>
        <w:rPr>
          <w:sz w:val="24"/>
          <w:szCs w:val="24"/>
        </w:rPr>
      </w:pPr>
      <w:r w:rsidRPr="007C7B32">
        <w:rPr>
          <w:noProof/>
          <w:sz w:val="24"/>
          <w:szCs w:val="24"/>
          <w:lang w:eastAsia="ru-RU"/>
        </w:rPr>
        <w:drawing>
          <wp:inline distT="0" distB="0" distL="0" distR="0" wp14:anchorId="7C457F03" wp14:editId="112693E6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7B32" w:rsidRPr="007C7B32" w:rsidRDefault="007C7B32" w:rsidP="007C7B32">
      <w:pPr>
        <w:rPr>
          <w:b/>
          <w:sz w:val="24"/>
          <w:szCs w:val="24"/>
        </w:rPr>
      </w:pPr>
      <w:r w:rsidRPr="007C7B32">
        <w:rPr>
          <w:b/>
          <w:sz w:val="24"/>
          <w:szCs w:val="24"/>
        </w:rPr>
        <w:t xml:space="preserve">Данные: </w:t>
      </w:r>
      <w:r w:rsidR="005C3609">
        <w:rPr>
          <w:b/>
          <w:sz w:val="24"/>
          <w:szCs w:val="24"/>
        </w:rPr>
        <w:t>экспертные оценки</w:t>
      </w:r>
      <w:r w:rsidRPr="007C7B32">
        <w:rPr>
          <w:b/>
          <w:sz w:val="24"/>
          <w:szCs w:val="24"/>
        </w:rPr>
        <w:t xml:space="preserve">, расчеты – Березин </w:t>
      </w:r>
      <w:proofErr w:type="gramStart"/>
      <w:r w:rsidRPr="007C7B32">
        <w:rPr>
          <w:b/>
          <w:sz w:val="24"/>
          <w:szCs w:val="24"/>
        </w:rPr>
        <w:t>И. С</w:t>
      </w:r>
      <w:proofErr w:type="gramEnd"/>
      <w:r w:rsidRPr="007C7B32">
        <w:rPr>
          <w:b/>
          <w:sz w:val="24"/>
          <w:szCs w:val="24"/>
        </w:rPr>
        <w:t>.</w:t>
      </w:r>
    </w:p>
    <w:p w:rsidR="00B10F9F" w:rsidRDefault="00B10F9F" w:rsidP="00B10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сожалению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для мебельщиков </w:t>
      </w:r>
      <w:r>
        <w:rPr>
          <w:rFonts w:eastAsia="Times New Roman" w:cs="Times New Roman"/>
          <w:sz w:val="24"/>
          <w:szCs w:val="24"/>
          <w:lang w:eastAsia="ru-RU"/>
        </w:rPr>
        <w:t>– нет.</w:t>
      </w:r>
      <w:r>
        <w:rPr>
          <w:rFonts w:eastAsia="Times New Roman" w:cs="Times New Roman"/>
          <w:sz w:val="24"/>
          <w:szCs w:val="24"/>
          <w:lang w:eastAsia="ru-RU"/>
        </w:rPr>
        <w:t xml:space="preserve"> За свой рынок, за свою долю в «кошельке» потребителя необходимо бороться. И не между собой, а со всеми другими производителями товаров длительного пользования и поставщиками необязательных услуг типа путешествий и развлечений.</w:t>
      </w:r>
    </w:p>
    <w:p w:rsidR="00B10F9F" w:rsidRPr="00B17CA6" w:rsidRDefault="00B10F9F" w:rsidP="00B10F9F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B17CA6">
        <w:rPr>
          <w:rFonts w:eastAsia="Times New Roman" w:cs="Times New Roman"/>
          <w:b/>
          <w:lang w:eastAsia="ru-RU"/>
        </w:rPr>
        <w:lastRenderedPageBreak/>
        <w:t>По понятным причинам мебель не конкурирует с едой и напитками, расходами на медицину или транспорт и прочими продуктами и услугами первой необходимости.</w:t>
      </w:r>
    </w:p>
    <w:p w:rsidR="006D448E" w:rsidRDefault="00B10F9F" w:rsidP="00B10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Но и в борьбе с автомобилями, бытовой техникой, ресторанами и поездками мебель решительно проигрывает свою долю. Да, расходы на все товары длительного пользования и необязательные услуги сократились в 2015 году. Но нигде это сокращение не было таким драматическим, как 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рынке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мебели. Да и началось снижение доли расходов на мебель</w:t>
      </w:r>
      <w:r w:rsidR="006D448E">
        <w:rPr>
          <w:rFonts w:eastAsia="Times New Roman" w:cs="Times New Roman"/>
          <w:sz w:val="24"/>
          <w:szCs w:val="24"/>
          <w:lang w:eastAsia="ru-RU"/>
        </w:rPr>
        <w:t xml:space="preserve"> не в 2015-м, и даже не в 2009-м, а во вполне благополучных 2006 – 2007 гг. А второй раз – в 2012 – 2013 гг.</w:t>
      </w:r>
      <w:r w:rsidR="006D44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448E" w:rsidRPr="000B1854">
        <w:rPr>
          <w:rFonts w:eastAsia="Times New Roman" w:cs="Times New Roman"/>
          <w:b/>
          <w:lang w:eastAsia="ru-RU"/>
        </w:rPr>
        <w:t>См. Диаграмму 6</w:t>
      </w:r>
      <w:r w:rsidR="006D44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A1FAD" w:rsidRDefault="006D448E" w:rsidP="00B10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Давайте признаемся честно – мебельщики проигрывают другим товарам длительного пользования «чемпионат по маркетингу».</w:t>
      </w:r>
      <w:r w:rsidR="00DA1F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DA1FAD">
        <w:rPr>
          <w:rFonts w:eastAsia="Times New Roman" w:cs="Times New Roman"/>
          <w:sz w:val="24"/>
          <w:szCs w:val="24"/>
          <w:lang w:eastAsia="ru-RU"/>
        </w:rPr>
        <w:t>За последние 15 лет, из которых 11 были очень хороши в экономическом плане (рост ВВП 3,5 – 8,5% годовых)</w:t>
      </w:r>
      <w:r w:rsidR="00B17CA6">
        <w:rPr>
          <w:rFonts w:eastAsia="Times New Roman" w:cs="Times New Roman"/>
          <w:sz w:val="24"/>
          <w:szCs w:val="24"/>
          <w:lang w:eastAsia="ru-RU"/>
        </w:rPr>
        <w:t>,</w:t>
      </w:r>
      <w:r w:rsidR="00DA1FAD">
        <w:rPr>
          <w:rFonts w:eastAsia="Times New Roman" w:cs="Times New Roman"/>
          <w:sz w:val="24"/>
          <w:szCs w:val="24"/>
          <w:lang w:eastAsia="ru-RU"/>
        </w:rPr>
        <w:t xml:space="preserve"> так и не была создана система «обратной связи» с потребителями.</w:t>
      </w:r>
      <w:proofErr w:type="gramEnd"/>
      <w:r w:rsidR="00DA1FAD">
        <w:rPr>
          <w:rFonts w:eastAsia="Times New Roman" w:cs="Times New Roman"/>
          <w:sz w:val="24"/>
          <w:szCs w:val="24"/>
          <w:lang w:eastAsia="ru-RU"/>
        </w:rPr>
        <w:t xml:space="preserve"> Не было проведено ни одного масштабного национального исследования потребителей в </w:t>
      </w:r>
      <w:proofErr w:type="gramStart"/>
      <w:r w:rsidR="00DA1FAD">
        <w:rPr>
          <w:rFonts w:eastAsia="Times New Roman" w:cs="Times New Roman"/>
          <w:sz w:val="24"/>
          <w:szCs w:val="24"/>
          <w:lang w:eastAsia="ru-RU"/>
        </w:rPr>
        <w:t>интересах</w:t>
      </w:r>
      <w:proofErr w:type="gramEnd"/>
      <w:r w:rsidR="00DA1FAD">
        <w:rPr>
          <w:rFonts w:eastAsia="Times New Roman" w:cs="Times New Roman"/>
          <w:sz w:val="24"/>
          <w:szCs w:val="24"/>
          <w:lang w:eastAsia="ru-RU"/>
        </w:rPr>
        <w:t xml:space="preserve"> всей отрасли. Шоу-</w:t>
      </w:r>
      <w:proofErr w:type="spellStart"/>
      <w:r w:rsidR="00DA1FAD">
        <w:rPr>
          <w:rFonts w:eastAsia="Times New Roman" w:cs="Times New Roman"/>
          <w:sz w:val="24"/>
          <w:szCs w:val="24"/>
          <w:lang w:eastAsia="ru-RU"/>
        </w:rPr>
        <w:t>румы</w:t>
      </w:r>
      <w:proofErr w:type="spellEnd"/>
      <w:r w:rsidR="00DA1FAD">
        <w:rPr>
          <w:rFonts w:eastAsia="Times New Roman" w:cs="Times New Roman"/>
          <w:sz w:val="24"/>
          <w:szCs w:val="24"/>
          <w:lang w:eastAsia="ru-RU"/>
        </w:rPr>
        <w:t xml:space="preserve"> в основной своей массе по-прежнему </w:t>
      </w:r>
      <w:proofErr w:type="gramStart"/>
      <w:r w:rsidR="00DA1FAD">
        <w:rPr>
          <w:rFonts w:eastAsia="Times New Roman" w:cs="Times New Roman"/>
          <w:sz w:val="24"/>
          <w:szCs w:val="24"/>
          <w:lang w:eastAsia="ru-RU"/>
        </w:rPr>
        <w:t>заставлены</w:t>
      </w:r>
      <w:proofErr w:type="gramEnd"/>
      <w:r w:rsidR="00DA1FAD">
        <w:rPr>
          <w:rFonts w:eastAsia="Times New Roman" w:cs="Times New Roman"/>
          <w:sz w:val="24"/>
          <w:szCs w:val="24"/>
          <w:lang w:eastAsia="ru-RU"/>
        </w:rPr>
        <w:t xml:space="preserve"> «мебелью для дворца». И это при устойчивой многолетней тенденции к снижению средней площади городской квартиры – </w:t>
      </w:r>
      <w:r w:rsidR="00DA1FAD" w:rsidRPr="00DA1FAD">
        <w:rPr>
          <w:rFonts w:eastAsia="Times New Roman" w:cs="Times New Roman"/>
          <w:b/>
          <w:lang w:eastAsia="ru-RU"/>
        </w:rPr>
        <w:t>см. выше</w:t>
      </w:r>
      <w:r w:rsidR="00DA1FAD">
        <w:rPr>
          <w:rFonts w:eastAsia="Times New Roman" w:cs="Times New Roman"/>
          <w:sz w:val="24"/>
          <w:szCs w:val="24"/>
          <w:lang w:eastAsia="ru-RU"/>
        </w:rPr>
        <w:t>. 90% предлагаемой на рынке кухонной мебели предназначено для помещений площадью от 10 кв. м. и выше. А 90% имеющихся у горожан кухонных помещений имеют площадь 6 – 8 кв. м.</w:t>
      </w:r>
    </w:p>
    <w:p w:rsidR="00B10F9F" w:rsidRDefault="00DA1FAD" w:rsidP="00B10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Потребители не получают от отрасли, от лидеров рынка «мотивирующих сигналов».</w:t>
      </w:r>
      <w:r w:rsidR="00B17CA6">
        <w:rPr>
          <w:rFonts w:eastAsia="Times New Roman" w:cs="Times New Roman"/>
          <w:sz w:val="24"/>
          <w:szCs w:val="24"/>
          <w:lang w:eastAsia="ru-RU"/>
        </w:rPr>
        <w:t xml:space="preserve"> А от производителей (продавцов) автомобилей и бытовой техники они такие сигналы получают регулярно. Производители других товаров длительного пользования рекламируют и продвигают не только свой продукт, конкретную модель (конечно – они это делают в первую очередь), но и категорию</w:t>
      </w:r>
      <w:proofErr w:type="gramStart"/>
      <w:r w:rsidR="00B17CA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B17CA6">
        <w:rPr>
          <w:rFonts w:eastAsia="Times New Roman" w:cs="Times New Roman"/>
          <w:sz w:val="24"/>
          <w:szCs w:val="24"/>
          <w:lang w:eastAsia="ru-RU"/>
        </w:rPr>
        <w:t xml:space="preserve"> Выгоды, ценность, удовольствие</w:t>
      </w:r>
      <w:r w:rsidR="00C16E52">
        <w:rPr>
          <w:rFonts w:eastAsia="Times New Roman" w:cs="Times New Roman"/>
          <w:sz w:val="24"/>
          <w:szCs w:val="24"/>
          <w:lang w:eastAsia="ru-RU"/>
        </w:rPr>
        <w:t xml:space="preserve"> и</w:t>
      </w:r>
      <w:r w:rsidR="00B17CA6">
        <w:rPr>
          <w:rFonts w:eastAsia="Times New Roman" w:cs="Times New Roman"/>
          <w:sz w:val="24"/>
          <w:szCs w:val="24"/>
          <w:lang w:eastAsia="ru-RU"/>
        </w:rPr>
        <w:t xml:space="preserve"> пользу от тех возможностей, которые предоставляет новый автомобиль</w:t>
      </w:r>
      <w:r w:rsidR="00C16E52">
        <w:rPr>
          <w:rFonts w:eastAsia="Times New Roman" w:cs="Times New Roman"/>
          <w:sz w:val="24"/>
          <w:szCs w:val="24"/>
          <w:lang w:eastAsia="ru-RU"/>
        </w:rPr>
        <w:t xml:space="preserve"> или</w:t>
      </w:r>
      <w:r w:rsidR="00B17CA6">
        <w:rPr>
          <w:rFonts w:eastAsia="Times New Roman" w:cs="Times New Roman"/>
          <w:sz w:val="24"/>
          <w:szCs w:val="24"/>
          <w:lang w:eastAsia="ru-RU"/>
        </w:rPr>
        <w:t xml:space="preserve"> телевизор, пылесос, телефон, кофе-машина и т.д. А если потребитель не получает от производителя «мотивирующего сигнала» о необходимости замены мебели на новую, то ему психологически намного проще отложить такую покупку еще на несколько лет.</w:t>
      </w:r>
    </w:p>
    <w:p w:rsidR="00C16E52" w:rsidRDefault="00C16E52" w:rsidP="00B10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Так что без серьезного «боя», без инвестиций в маркетинг, в понимание своего рынка, в коммуникации со своим потребителем доля (рынка) не вернется. И очередной шанс на возвращение к росту, который может возникнуть во 2-м полугодии 2016 и в 2017 году, будет упущен. Не упустите свой шанс. На этот раз он действительно может быть последним.</w:t>
      </w:r>
      <w:bookmarkStart w:id="0" w:name="_GoBack"/>
      <w:bookmarkEnd w:id="0"/>
    </w:p>
    <w:sectPr w:rsidR="00C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00A7"/>
    <w:multiLevelType w:val="multilevel"/>
    <w:tmpl w:val="49A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0530"/>
    <w:multiLevelType w:val="hybridMultilevel"/>
    <w:tmpl w:val="4310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F"/>
    <w:rsid w:val="00000981"/>
    <w:rsid w:val="00084212"/>
    <w:rsid w:val="000B1854"/>
    <w:rsid w:val="000E46B8"/>
    <w:rsid w:val="00121F7F"/>
    <w:rsid w:val="00135EEE"/>
    <w:rsid w:val="002D46D3"/>
    <w:rsid w:val="003011AC"/>
    <w:rsid w:val="00326C4F"/>
    <w:rsid w:val="003E0972"/>
    <w:rsid w:val="00404AF4"/>
    <w:rsid w:val="0045287D"/>
    <w:rsid w:val="004C692C"/>
    <w:rsid w:val="004F5B79"/>
    <w:rsid w:val="00531622"/>
    <w:rsid w:val="00592E80"/>
    <w:rsid w:val="005B7CBB"/>
    <w:rsid w:val="005C3609"/>
    <w:rsid w:val="005E125A"/>
    <w:rsid w:val="006737FB"/>
    <w:rsid w:val="006D3D7B"/>
    <w:rsid w:val="006D448E"/>
    <w:rsid w:val="00760469"/>
    <w:rsid w:val="00777676"/>
    <w:rsid w:val="00796BBE"/>
    <w:rsid w:val="007C7B32"/>
    <w:rsid w:val="008735F1"/>
    <w:rsid w:val="00983EB6"/>
    <w:rsid w:val="009F62AC"/>
    <w:rsid w:val="00A67668"/>
    <w:rsid w:val="00A8033D"/>
    <w:rsid w:val="00A909E9"/>
    <w:rsid w:val="00B10F9F"/>
    <w:rsid w:val="00B17CA6"/>
    <w:rsid w:val="00C16E52"/>
    <w:rsid w:val="00C46912"/>
    <w:rsid w:val="00DA1FAD"/>
    <w:rsid w:val="00E53C15"/>
    <w:rsid w:val="00E9021E"/>
    <w:rsid w:val="00EC73C2"/>
    <w:rsid w:val="00EF50B8"/>
    <w:rsid w:val="00FF2A3F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ologi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1.1200000000000001</c:v>
                </c:pt>
                <c:pt idx="1">
                  <c:v>2.12</c:v>
                </c:pt>
                <c:pt idx="2">
                  <c:v>3.12</c:v>
                </c:pt>
                <c:pt idx="3">
                  <c:v>4.12</c:v>
                </c:pt>
                <c:pt idx="4">
                  <c:v>1.1299999999999999</c:v>
                </c:pt>
                <c:pt idx="5">
                  <c:v>2.13</c:v>
                </c:pt>
                <c:pt idx="6">
                  <c:v>3.13</c:v>
                </c:pt>
                <c:pt idx="7">
                  <c:v>4.13</c:v>
                </c:pt>
                <c:pt idx="8">
                  <c:v>1.1399999999999999</c:v>
                </c:pt>
                <c:pt idx="9">
                  <c:v>2.14</c:v>
                </c:pt>
                <c:pt idx="10">
                  <c:v>3.14</c:v>
                </c:pt>
                <c:pt idx="11">
                  <c:v>4.1399999999999997</c:v>
                </c:pt>
                <c:pt idx="12">
                  <c:v>1.1499999999999999</c:v>
                </c:pt>
                <c:pt idx="13">
                  <c:v>2.15</c:v>
                </c:pt>
                <c:pt idx="14">
                  <c:v>3.15</c:v>
                </c:pt>
                <c:pt idx="15">
                  <c:v>4.1500000000000004</c:v>
                </c:pt>
                <c:pt idx="16">
                  <c:v>1.1599999999999999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4.8</c:v>
                </c:pt>
                <c:pt idx="1">
                  <c:v>4.2</c:v>
                </c:pt>
                <c:pt idx="2">
                  <c:v>3.1</c:v>
                </c:pt>
                <c:pt idx="3">
                  <c:v>2.1</c:v>
                </c:pt>
                <c:pt idx="4">
                  <c:v>1.6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0.9</c:v>
                </c:pt>
                <c:pt idx="9">
                  <c:v>0.8</c:v>
                </c:pt>
                <c:pt idx="10">
                  <c:v>0.7</c:v>
                </c:pt>
                <c:pt idx="11">
                  <c:v>0.3</c:v>
                </c:pt>
                <c:pt idx="12">
                  <c:v>-2.2000000000000002</c:v>
                </c:pt>
                <c:pt idx="13">
                  <c:v>-4.5999999999999996</c:v>
                </c:pt>
                <c:pt idx="14">
                  <c:v>-4.0999999999999996</c:v>
                </c:pt>
                <c:pt idx="15">
                  <c:v>-3.9</c:v>
                </c:pt>
                <c:pt idx="16">
                  <c:v>-1.8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70560"/>
        <c:axId val="82846080"/>
      </c:barChart>
      <c:catAx>
        <c:axId val="827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846080"/>
        <c:crosses val="autoZero"/>
        <c:auto val="1"/>
        <c:lblAlgn val="ctr"/>
        <c:lblOffset val="100"/>
        <c:noMultiLvlLbl val="0"/>
      </c:catAx>
      <c:valAx>
        <c:axId val="8284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77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1.1200000000000001</c:v>
                </c:pt>
                <c:pt idx="1">
                  <c:v>2.12</c:v>
                </c:pt>
                <c:pt idx="2">
                  <c:v>3.12</c:v>
                </c:pt>
                <c:pt idx="3">
                  <c:v>4.12</c:v>
                </c:pt>
                <c:pt idx="4">
                  <c:v>1.1299999999999999</c:v>
                </c:pt>
                <c:pt idx="5">
                  <c:v>2.13</c:v>
                </c:pt>
                <c:pt idx="6">
                  <c:v>3.13</c:v>
                </c:pt>
                <c:pt idx="7">
                  <c:v>4.13</c:v>
                </c:pt>
                <c:pt idx="8">
                  <c:v>1.1399999999999999</c:v>
                </c:pt>
                <c:pt idx="9">
                  <c:v>2.14</c:v>
                </c:pt>
                <c:pt idx="10">
                  <c:v>3.14</c:v>
                </c:pt>
                <c:pt idx="11">
                  <c:v>4.1399999999999997</c:v>
                </c:pt>
                <c:pt idx="12">
                  <c:v>1.1499999999999999</c:v>
                </c:pt>
                <c:pt idx="13">
                  <c:v>2.15</c:v>
                </c:pt>
                <c:pt idx="14">
                  <c:v>3.15</c:v>
                </c:pt>
                <c:pt idx="15">
                  <c:v>4.1500000000000004</c:v>
                </c:pt>
                <c:pt idx="16">
                  <c:v>1.1599999999999999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1.5</c:v>
                </c:pt>
                <c:pt idx="1">
                  <c:v>1.7</c:v>
                </c:pt>
                <c:pt idx="2">
                  <c:v>1.7</c:v>
                </c:pt>
                <c:pt idx="3">
                  <c:v>1.4</c:v>
                </c:pt>
                <c:pt idx="4">
                  <c:v>1.9</c:v>
                </c:pt>
                <c:pt idx="5">
                  <c:v>1.6</c:v>
                </c:pt>
                <c:pt idx="6">
                  <c:v>1.2</c:v>
                </c:pt>
                <c:pt idx="7">
                  <c:v>1.7</c:v>
                </c:pt>
                <c:pt idx="8">
                  <c:v>2.2999999999999998</c:v>
                </c:pt>
                <c:pt idx="9">
                  <c:v>2.4</c:v>
                </c:pt>
                <c:pt idx="10">
                  <c:v>1.4</c:v>
                </c:pt>
                <c:pt idx="11">
                  <c:v>4.8</c:v>
                </c:pt>
                <c:pt idx="12">
                  <c:v>7.4</c:v>
                </c:pt>
                <c:pt idx="13">
                  <c:v>1.1000000000000001</c:v>
                </c:pt>
                <c:pt idx="14">
                  <c:v>1.7</c:v>
                </c:pt>
                <c:pt idx="15">
                  <c:v>2.2999999999999998</c:v>
                </c:pt>
                <c:pt idx="16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99328"/>
        <c:axId val="82900864"/>
      </c:barChart>
      <c:catAx>
        <c:axId val="8289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900864"/>
        <c:crosses val="autoZero"/>
        <c:auto val="1"/>
        <c:lblAlgn val="ctr"/>
        <c:lblOffset val="100"/>
        <c:noMultiLvlLbl val="0"/>
      </c:catAx>
      <c:valAx>
        <c:axId val="829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9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Номинальные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-2.3148148148148147E-3"/>
                  <c:y val="0.11111111111111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1.1200000000000001</c:v>
                </c:pt>
                <c:pt idx="1">
                  <c:v>2.12</c:v>
                </c:pt>
                <c:pt idx="2">
                  <c:v>3.12</c:v>
                </c:pt>
                <c:pt idx="3">
                  <c:v>4.12</c:v>
                </c:pt>
                <c:pt idx="4">
                  <c:v>1.1299999999999999</c:v>
                </c:pt>
                <c:pt idx="5">
                  <c:v>2.13</c:v>
                </c:pt>
                <c:pt idx="6">
                  <c:v>3.13</c:v>
                </c:pt>
                <c:pt idx="7">
                  <c:v>4.13</c:v>
                </c:pt>
                <c:pt idx="8">
                  <c:v>1.1399999999999999</c:v>
                </c:pt>
                <c:pt idx="9">
                  <c:v>2.14</c:v>
                </c:pt>
                <c:pt idx="10">
                  <c:v>3.14</c:v>
                </c:pt>
                <c:pt idx="11">
                  <c:v>4.1399999999999997</c:v>
                </c:pt>
                <c:pt idx="12">
                  <c:v>1.1499999999999999</c:v>
                </c:pt>
                <c:pt idx="13">
                  <c:v>2.15</c:v>
                </c:pt>
                <c:pt idx="14">
                  <c:v>3.15</c:v>
                </c:pt>
                <c:pt idx="15">
                  <c:v>4.1500000000000004</c:v>
                </c:pt>
                <c:pt idx="16">
                  <c:v>1.1599999999999999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11</c:v>
                </c:pt>
                <c:pt idx="1">
                  <c:v>8</c:v>
                </c:pt>
                <c:pt idx="2">
                  <c:v>9</c:v>
                </c:pt>
                <c:pt idx="3">
                  <c:v>14.5</c:v>
                </c:pt>
                <c:pt idx="4">
                  <c:v>13.5</c:v>
                </c:pt>
                <c:pt idx="5">
                  <c:v>15.5</c:v>
                </c:pt>
                <c:pt idx="6">
                  <c:v>17.5</c:v>
                </c:pt>
                <c:pt idx="7">
                  <c:v>0.5</c:v>
                </c:pt>
                <c:pt idx="8">
                  <c:v>-1</c:v>
                </c:pt>
                <c:pt idx="9">
                  <c:v>2.5</c:v>
                </c:pt>
                <c:pt idx="10">
                  <c:v>4</c:v>
                </c:pt>
                <c:pt idx="11">
                  <c:v>12</c:v>
                </c:pt>
                <c:pt idx="12">
                  <c:v>13</c:v>
                </c:pt>
                <c:pt idx="13">
                  <c:v>15</c:v>
                </c:pt>
                <c:pt idx="14">
                  <c:v>11</c:v>
                </c:pt>
                <c:pt idx="15">
                  <c:v>8.5</c:v>
                </c:pt>
                <c:pt idx="16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Реальные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1.1200000000000001</c:v>
                </c:pt>
                <c:pt idx="1">
                  <c:v>2.12</c:v>
                </c:pt>
                <c:pt idx="2">
                  <c:v>3.12</c:v>
                </c:pt>
                <c:pt idx="3">
                  <c:v>4.12</c:v>
                </c:pt>
                <c:pt idx="4">
                  <c:v>1.1299999999999999</c:v>
                </c:pt>
                <c:pt idx="5">
                  <c:v>2.13</c:v>
                </c:pt>
                <c:pt idx="6">
                  <c:v>3.13</c:v>
                </c:pt>
                <c:pt idx="7">
                  <c:v>4.13</c:v>
                </c:pt>
                <c:pt idx="8">
                  <c:v>1.1399999999999999</c:v>
                </c:pt>
                <c:pt idx="9">
                  <c:v>2.14</c:v>
                </c:pt>
                <c:pt idx="10">
                  <c:v>3.14</c:v>
                </c:pt>
                <c:pt idx="11">
                  <c:v>4.1399999999999997</c:v>
                </c:pt>
                <c:pt idx="12">
                  <c:v>1.1499999999999999</c:v>
                </c:pt>
                <c:pt idx="13">
                  <c:v>2.15</c:v>
                </c:pt>
                <c:pt idx="14">
                  <c:v>3.15</c:v>
                </c:pt>
                <c:pt idx="15">
                  <c:v>4.1500000000000004</c:v>
                </c:pt>
                <c:pt idx="16">
                  <c:v>1.1599999999999999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3.5</c:v>
                </c:pt>
                <c:pt idx="1">
                  <c:v>1.5</c:v>
                </c:pt>
                <c:pt idx="2">
                  <c:v>2</c:v>
                </c:pt>
                <c:pt idx="3">
                  <c:v>7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  <c:pt idx="7">
                  <c:v>-6</c:v>
                </c:pt>
                <c:pt idx="8">
                  <c:v>-7.5</c:v>
                </c:pt>
                <c:pt idx="9">
                  <c:v>-5</c:v>
                </c:pt>
                <c:pt idx="10">
                  <c:v>-5.5</c:v>
                </c:pt>
                <c:pt idx="11">
                  <c:v>-2.5</c:v>
                </c:pt>
                <c:pt idx="12">
                  <c:v>-5</c:v>
                </c:pt>
                <c:pt idx="13">
                  <c:v>-3</c:v>
                </c:pt>
                <c:pt idx="14">
                  <c:v>-4</c:v>
                </c:pt>
                <c:pt idx="15">
                  <c:v>-6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914304"/>
        <c:axId val="82924288"/>
      </c:barChart>
      <c:catAx>
        <c:axId val="829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924288"/>
        <c:crosses val="autoZero"/>
        <c:auto val="1"/>
        <c:lblAlgn val="ctr"/>
        <c:lblOffset val="100"/>
        <c:noMultiLvlLbl val="0"/>
      </c:catAx>
      <c:valAx>
        <c:axId val="8292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9143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7073673082531357E-2"/>
          <c:y val="6.10530301359389E-2"/>
          <c:w val="0.90746336395450566"/>
          <c:h val="0.88711447833726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1.1200000000000001</c:v>
                </c:pt>
                <c:pt idx="1">
                  <c:v>2.12</c:v>
                </c:pt>
                <c:pt idx="2">
                  <c:v>3.12</c:v>
                </c:pt>
                <c:pt idx="3">
                  <c:v>4.12</c:v>
                </c:pt>
                <c:pt idx="4">
                  <c:v>1.1299999999999999</c:v>
                </c:pt>
                <c:pt idx="5">
                  <c:v>2.13</c:v>
                </c:pt>
                <c:pt idx="6">
                  <c:v>3.13</c:v>
                </c:pt>
                <c:pt idx="7">
                  <c:v>4.13</c:v>
                </c:pt>
                <c:pt idx="8">
                  <c:v>1.1399999999999999</c:v>
                </c:pt>
                <c:pt idx="9">
                  <c:v>2.14</c:v>
                </c:pt>
                <c:pt idx="10">
                  <c:v>3.14</c:v>
                </c:pt>
                <c:pt idx="11">
                  <c:v>4.1399999999999997</c:v>
                </c:pt>
                <c:pt idx="12">
                  <c:v>1.1499999999999999</c:v>
                </c:pt>
                <c:pt idx="13">
                  <c:v>2.15</c:v>
                </c:pt>
                <c:pt idx="14">
                  <c:v>3.15</c:v>
                </c:pt>
                <c:pt idx="15">
                  <c:v>4.1500000000000004</c:v>
                </c:pt>
                <c:pt idx="16">
                  <c:v>1.1599999999999999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18</c:v>
                </c:pt>
                <c:pt idx="1">
                  <c:v>12</c:v>
                </c:pt>
                <c:pt idx="2">
                  <c:v>13</c:v>
                </c:pt>
                <c:pt idx="3">
                  <c:v>2</c:v>
                </c:pt>
                <c:pt idx="4">
                  <c:v>1</c:v>
                </c:pt>
                <c:pt idx="5">
                  <c:v>-10</c:v>
                </c:pt>
                <c:pt idx="6">
                  <c:v>-8</c:v>
                </c:pt>
                <c:pt idx="7">
                  <c:v>-2</c:v>
                </c:pt>
                <c:pt idx="8">
                  <c:v>-3</c:v>
                </c:pt>
                <c:pt idx="9">
                  <c:v>-12</c:v>
                </c:pt>
                <c:pt idx="10">
                  <c:v>-23</c:v>
                </c:pt>
                <c:pt idx="11">
                  <c:v>-3</c:v>
                </c:pt>
                <c:pt idx="12">
                  <c:v>-37</c:v>
                </c:pt>
                <c:pt idx="13">
                  <c:v>-38</c:v>
                </c:pt>
                <c:pt idx="14">
                  <c:v>-26</c:v>
                </c:pt>
                <c:pt idx="15">
                  <c:v>-43</c:v>
                </c:pt>
                <c:pt idx="16">
                  <c:v>-17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288960"/>
        <c:axId val="97290496"/>
      </c:barChart>
      <c:catAx>
        <c:axId val="9728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290496"/>
        <c:crosses val="autoZero"/>
        <c:auto val="1"/>
        <c:lblAlgn val="ctr"/>
        <c:lblOffset val="100"/>
        <c:noMultiLvlLbl val="0"/>
      </c:catAx>
      <c:valAx>
        <c:axId val="9729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28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 кв.м.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60</c:v>
                </c:pt>
                <c:pt idx="2">
                  <c:v>64</c:v>
                </c:pt>
                <c:pt idx="3">
                  <c:v>60</c:v>
                </c:pt>
                <c:pt idx="4">
                  <c:v>58</c:v>
                </c:pt>
                <c:pt idx="5">
                  <c:v>62</c:v>
                </c:pt>
                <c:pt idx="6">
                  <c:v>67</c:v>
                </c:pt>
                <c:pt idx="7">
                  <c:v>72</c:v>
                </c:pt>
                <c:pt idx="8">
                  <c:v>84.3</c:v>
                </c:pt>
                <c:pt idx="9">
                  <c:v>83.8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Кв. м.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83.5</c:v>
                </c:pt>
                <c:pt idx="1">
                  <c:v>87.5</c:v>
                </c:pt>
                <c:pt idx="2">
                  <c:v>85</c:v>
                </c:pt>
                <c:pt idx="3">
                  <c:v>84.5</c:v>
                </c:pt>
                <c:pt idx="4">
                  <c:v>84</c:v>
                </c:pt>
                <c:pt idx="5">
                  <c:v>83</c:v>
                </c:pt>
                <c:pt idx="6">
                  <c:v>81</c:v>
                </c:pt>
                <c:pt idx="7">
                  <c:v>77.5</c:v>
                </c:pt>
                <c:pt idx="8">
                  <c:v>75</c:v>
                </c:pt>
                <c:pt idx="9">
                  <c:v>71.5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74912"/>
        <c:axId val="107234048"/>
      </c:barChart>
      <c:catAx>
        <c:axId val="10717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234048"/>
        <c:crosses val="autoZero"/>
        <c:auto val="1"/>
        <c:lblAlgn val="ctr"/>
        <c:lblOffset val="100"/>
        <c:noMultiLvlLbl val="0"/>
      </c:catAx>
      <c:valAx>
        <c:axId val="107234048"/>
        <c:scaling>
          <c:orientation val="minMax"/>
          <c:max val="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749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2.2999999999999998</c:v>
                </c:pt>
                <c:pt idx="1">
                  <c:v>1.9</c:v>
                </c:pt>
                <c:pt idx="2">
                  <c:v>1.6</c:v>
                </c:pt>
                <c:pt idx="3">
                  <c:v>0.9</c:v>
                </c:pt>
                <c:pt idx="4">
                  <c:v>1.1000000000000001</c:v>
                </c:pt>
                <c:pt idx="5">
                  <c:v>1.2</c:v>
                </c:pt>
                <c:pt idx="6">
                  <c:v>1.1000000000000001</c:v>
                </c:pt>
                <c:pt idx="7">
                  <c:v>1.05</c:v>
                </c:pt>
                <c:pt idx="8">
                  <c:v>1</c:v>
                </c:pt>
                <c:pt idx="9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70912"/>
        <c:axId val="107272448"/>
      </c:barChart>
      <c:catAx>
        <c:axId val="10727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272448"/>
        <c:crosses val="autoZero"/>
        <c:auto val="1"/>
        <c:lblAlgn val="ctr"/>
        <c:lblOffset val="100"/>
        <c:noMultiLvlLbl val="0"/>
      </c:catAx>
      <c:valAx>
        <c:axId val="107272448"/>
        <c:scaling>
          <c:orientation val="minMax"/>
          <c:max val="2.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27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26</cp:revision>
  <dcterms:created xsi:type="dcterms:W3CDTF">2016-04-06T06:23:00Z</dcterms:created>
  <dcterms:modified xsi:type="dcterms:W3CDTF">2016-04-09T06:21:00Z</dcterms:modified>
</cp:coreProperties>
</file>