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29" w:rsidRPr="00D44E29" w:rsidRDefault="00D44E29" w:rsidP="00D44E29">
      <w:pPr>
        <w:rPr>
          <w:b/>
          <w:sz w:val="28"/>
          <w:szCs w:val="28"/>
        </w:rPr>
      </w:pPr>
      <w:r w:rsidRPr="00D44E29">
        <w:rPr>
          <w:b/>
          <w:sz w:val="28"/>
          <w:szCs w:val="28"/>
        </w:rPr>
        <w:t>Январь: «</w:t>
      </w:r>
      <w:r w:rsidR="002A4821">
        <w:rPr>
          <w:b/>
          <w:sz w:val="28"/>
          <w:szCs w:val="28"/>
        </w:rPr>
        <w:t>Потребители закупают повседневные непродовольственные товары впрок</w:t>
      </w:r>
      <w:r w:rsidRPr="00D44E29">
        <w:rPr>
          <w:b/>
          <w:sz w:val="28"/>
          <w:szCs w:val="28"/>
        </w:rPr>
        <w:t>».</w:t>
      </w:r>
    </w:p>
    <w:p w:rsidR="002429E2" w:rsidRDefault="00D44E29" w:rsidP="00D44E29">
      <w:pPr>
        <w:rPr>
          <w:b/>
        </w:rPr>
      </w:pPr>
      <w:r w:rsidRPr="002429E2">
        <w:rPr>
          <w:b/>
          <w:sz w:val="28"/>
          <w:szCs w:val="28"/>
        </w:rPr>
        <w:t>Игорь Березин</w:t>
      </w:r>
      <w:r w:rsidRPr="00D44E29">
        <w:rPr>
          <w:b/>
        </w:rPr>
        <w:t xml:space="preserve">, </w:t>
      </w:r>
    </w:p>
    <w:p w:rsidR="00D44E29" w:rsidRPr="00D44E29" w:rsidRDefault="00D44E29" w:rsidP="00D44E29">
      <w:pPr>
        <w:rPr>
          <w:b/>
        </w:rPr>
      </w:pPr>
      <w:r w:rsidRPr="00D44E29">
        <w:rPr>
          <w:b/>
        </w:rPr>
        <w:t xml:space="preserve">Ведущий эксперт исследовательского холдинга </w:t>
      </w:r>
      <w:r w:rsidRPr="00D44E29">
        <w:rPr>
          <w:b/>
          <w:lang w:val="en-US"/>
        </w:rPr>
        <w:t>Romir</w:t>
      </w:r>
      <w:r w:rsidRPr="00D44E29">
        <w:rPr>
          <w:b/>
        </w:rPr>
        <w:t>, Президент Гильдии Маркетологов</w:t>
      </w:r>
    </w:p>
    <w:p w:rsidR="00D44E29" w:rsidRPr="002A4821" w:rsidRDefault="00D44E29" w:rsidP="00D44E29">
      <w:pPr>
        <w:rPr>
          <w:b/>
        </w:rPr>
      </w:pPr>
    </w:p>
    <w:p w:rsidR="00D44E29" w:rsidRDefault="00CF48E8" w:rsidP="00D44E29">
      <w:pPr>
        <w:rPr>
          <w:b/>
        </w:rPr>
      </w:pPr>
      <w:r>
        <w:rPr>
          <w:b/>
        </w:rPr>
        <w:t>Повседневные потребительские расходы в январе 2015-го года снизились на 22% по сравнению с декабрем 2014-го года. Это «нормальное» сезонное снижение. Такое же наблюдалось и в январе 2014-го года.</w:t>
      </w:r>
    </w:p>
    <w:p w:rsidR="00CF48E8" w:rsidRDefault="00CF48E8" w:rsidP="00D44E29">
      <w:pPr>
        <w:rPr>
          <w:b/>
        </w:rPr>
      </w:pPr>
      <w:r>
        <w:rPr>
          <w:b/>
        </w:rPr>
        <w:t xml:space="preserve">По сравнению с январем 2014-го года номинальные повседневные расходы в январе 2015-го выросли на 15%, что едва покрывает (на 1%) темп роста потребительских цен. При этом расходы на покупку продуктов питания увеличились на 1%, а в реальном выражении снизились почти на 15%. </w:t>
      </w:r>
      <w:r w:rsidR="002429E2">
        <w:rPr>
          <w:b/>
        </w:rPr>
        <w:t xml:space="preserve">Потребители возобновили «жесткую оптимизацию» своей продовольственной корзины. </w:t>
      </w:r>
      <w:r>
        <w:rPr>
          <w:b/>
        </w:rPr>
        <w:t>А вот расходы на</w:t>
      </w:r>
      <w:r w:rsidR="002429E2">
        <w:rPr>
          <w:b/>
        </w:rPr>
        <w:t xml:space="preserve"> покупку непродовольственных товаров повседневного спроса выросли сразу на 35% в номинальном или на 15 – 20% в реальном выражении. В ожидании дальнейшего роста цен многие потребители стали закупать непродовольственные товары впрок.</w:t>
      </w:r>
    </w:p>
    <w:p w:rsidR="002429E2" w:rsidRDefault="002429E2" w:rsidP="00D44E29">
      <w:pPr>
        <w:rPr>
          <w:b/>
        </w:rPr>
      </w:pPr>
      <w:r>
        <w:rPr>
          <w:b/>
        </w:rPr>
        <w:t>Доля расходов на покупку продуктов питания в повседневной корзине (без крупных расходов и оплаты услуг) в январе 2015-го года опустилась до минимального значения за весь семилетний период наблюдений – 52%.</w:t>
      </w:r>
    </w:p>
    <w:p w:rsidR="00DD21BE" w:rsidRDefault="00DD21BE" w:rsidP="00D44E29">
      <w:pPr>
        <w:rPr>
          <w:b/>
        </w:rPr>
      </w:pPr>
      <w:r>
        <w:rPr>
          <w:b/>
        </w:rPr>
        <w:t xml:space="preserve">Наиболее значительный годовой рост повседневных расходов был зафиксирован в городах с населением от 100 до 450 тыс. жителей: более 30% в номинальном и 15% в реальном выражении. </w:t>
      </w:r>
      <w:proofErr w:type="gramStart"/>
      <w:r>
        <w:rPr>
          <w:b/>
        </w:rPr>
        <w:t>В Москве и городах с населением от 500 до 800 тыс. жителей номинальный годовой рост составил 20 – 22%, реальный – 6 – 7%. В Санкт-Петербурге и других «</w:t>
      </w:r>
      <w:proofErr w:type="spellStart"/>
      <w:r>
        <w:rPr>
          <w:b/>
        </w:rPr>
        <w:t>миллионниках</w:t>
      </w:r>
      <w:proofErr w:type="spellEnd"/>
      <w:r>
        <w:rPr>
          <w:b/>
        </w:rPr>
        <w:t>» номинальный годовой рост был в пределах 3 – 6%, а реальное потребление сократилось на 7 – 10%. В горизонте 3 – 5 лет во всех типов населенных пунктов наблюдается небольшой рост реальных потребительских расходов.</w:t>
      </w:r>
      <w:proofErr w:type="gramEnd"/>
    </w:p>
    <w:p w:rsidR="003E1A27" w:rsidRDefault="003E1A27" w:rsidP="00D44E29">
      <w:pPr>
        <w:rPr>
          <w:b/>
        </w:rPr>
      </w:pPr>
      <w:r>
        <w:rPr>
          <w:b/>
        </w:rPr>
        <w:t xml:space="preserve">Повседневные расходы потребителей со средним уровнем доходов выросли за год на 20% в номинальном и на 5% в реальном выражении. У группы потребителей с доходами </w:t>
      </w:r>
      <w:proofErr w:type="gramStart"/>
      <w:r>
        <w:rPr>
          <w:b/>
        </w:rPr>
        <w:t>ниже среднего уровня динами чуть скромнее: 17,5% роста в номинальном и около 3% роста в реальном выражении</w:t>
      </w:r>
      <w:proofErr w:type="gramEnd"/>
      <w:r>
        <w:rPr>
          <w:b/>
        </w:rPr>
        <w:t>. А вот у граждан с доходами выше среднего уровня номинальные расходы выросли за год только на 11%, а реальные снизились на 2,5%.</w:t>
      </w:r>
    </w:p>
    <w:p w:rsidR="002A4821" w:rsidRDefault="003E1A27" w:rsidP="00D44E29">
      <w:r>
        <w:t>______________________________________</w:t>
      </w:r>
    </w:p>
    <w:p w:rsidR="00614EA8" w:rsidRDefault="00B2796A" w:rsidP="00D44E29">
      <w:r>
        <w:t>Начало 2015 не принесло хороших новостей ни в вопросе ослабления «международной напряженности», ни относительно макроэкономических индикаторов. С</w:t>
      </w:r>
      <w:r w:rsidR="00D44E29" w:rsidRPr="00D44E29">
        <w:t>нижение цен</w:t>
      </w:r>
      <w:r>
        <w:t>ы</w:t>
      </w:r>
      <w:r w:rsidR="00D44E29" w:rsidRPr="00D44E29">
        <w:t xml:space="preserve"> на нефть</w:t>
      </w:r>
      <w:r>
        <w:t xml:space="preserve"> продолжилось</w:t>
      </w:r>
      <w:r w:rsidR="00D44E29" w:rsidRPr="00D44E29">
        <w:t xml:space="preserve">. К концу </w:t>
      </w:r>
      <w:r>
        <w:t>января</w:t>
      </w:r>
      <w:r w:rsidR="00D44E29" w:rsidRPr="00D44E29">
        <w:t xml:space="preserve"> цена на главный экспортный ресурс России опустилась ниже </w:t>
      </w:r>
      <w:r>
        <w:t>5</w:t>
      </w:r>
      <w:r w:rsidR="00D44E29" w:rsidRPr="00D44E29">
        <w:t>0 дол</w:t>
      </w:r>
      <w:proofErr w:type="gramStart"/>
      <w:r w:rsidR="00D44E29" w:rsidRPr="00D44E29">
        <w:t>.</w:t>
      </w:r>
      <w:proofErr w:type="gramEnd"/>
      <w:r w:rsidR="00D44E29" w:rsidRPr="00D44E29">
        <w:t xml:space="preserve"> </w:t>
      </w:r>
      <w:proofErr w:type="gramStart"/>
      <w:r w:rsidR="00D44E29" w:rsidRPr="00D44E29">
        <w:t>з</w:t>
      </w:r>
      <w:proofErr w:type="gramEnd"/>
      <w:r w:rsidR="00D44E29" w:rsidRPr="00D44E29">
        <w:t xml:space="preserve">а баррель марки </w:t>
      </w:r>
      <w:proofErr w:type="spellStart"/>
      <w:r w:rsidR="00D44E29" w:rsidRPr="00D44E29">
        <w:t>Брент</w:t>
      </w:r>
      <w:proofErr w:type="spellEnd"/>
      <w:r w:rsidR="00D44E29" w:rsidRPr="00D44E29">
        <w:t xml:space="preserve">. Общее снижение цены на нефть с августа по </w:t>
      </w:r>
      <w:r>
        <w:t>январь превысило 5</w:t>
      </w:r>
      <w:r w:rsidR="00D44E29" w:rsidRPr="00D44E29">
        <w:t>0%</w:t>
      </w:r>
      <w:r w:rsidR="00614EA8">
        <w:t xml:space="preserve"> - т.е. цена нефти снизилась более чем в два раза</w:t>
      </w:r>
      <w:r w:rsidR="00D44E29" w:rsidRPr="00D44E29">
        <w:t xml:space="preserve">. </w:t>
      </w:r>
      <w:r w:rsidR="00614EA8">
        <w:t>Номинальные значения нефтяных котировок немного превышают значения начала 2009-го года. А с учетом накопленной инфляции (в долларах 2009-го года) находятся на тех же самых уровнях, и даже ниже.</w:t>
      </w:r>
      <w:r w:rsidR="00D44E29" w:rsidRPr="00D44E29">
        <w:t xml:space="preserve"> </w:t>
      </w:r>
    </w:p>
    <w:p w:rsidR="00D44E29" w:rsidRDefault="00D44E29" w:rsidP="00D44E29">
      <w:r w:rsidRPr="00D44E29">
        <w:lastRenderedPageBreak/>
        <w:t xml:space="preserve">Паника на валютном рынке прекратилась. </w:t>
      </w:r>
      <w:r w:rsidR="00614EA8">
        <w:t>Курс</w:t>
      </w:r>
      <w:r w:rsidRPr="00D44E29">
        <w:t xml:space="preserve"> рубля </w:t>
      </w:r>
      <w:r w:rsidR="00614EA8">
        <w:t>по отношению к доллару США «стабилизировался» в диапазоне 65 – 69 рублей за доллар. Это означает, что з</w:t>
      </w:r>
      <w:r w:rsidRPr="00D44E29">
        <w:t xml:space="preserve">а </w:t>
      </w:r>
      <w:r w:rsidR="00614EA8">
        <w:t xml:space="preserve">год </w:t>
      </w:r>
      <w:r w:rsidRPr="00D44E29">
        <w:t xml:space="preserve">рубль обесценился к доллару </w:t>
      </w:r>
      <w:r w:rsidR="00614EA8">
        <w:t>ровно в два раза</w:t>
      </w:r>
      <w:r w:rsidRPr="00D44E29">
        <w:t xml:space="preserve">. Снижение курса рубля в период с июля 2008-го по февраль 2009-го (когда нефть подешевела в три раза) было не столь значительным. Тогда курс снизился с 24 до 37 рублей за доллар, т.е. примерно в 1,5 раза. </w:t>
      </w:r>
    </w:p>
    <w:p w:rsidR="00614EA8" w:rsidRPr="00D44E29" w:rsidRDefault="00614EA8" w:rsidP="00D44E29">
      <w:r>
        <w:t xml:space="preserve">Инфляционные ожидания в связи со снижением курса национальной валюты стремительно преобразуются в </w:t>
      </w:r>
      <w:r w:rsidR="00F617D2">
        <w:t xml:space="preserve">печальную </w:t>
      </w:r>
      <w:r>
        <w:t>реальность. По итогам 2014-го года общая потребительская инфляция</w:t>
      </w:r>
      <w:r w:rsidR="00F617D2">
        <w:t xml:space="preserve"> составила 11,4% (по данным </w:t>
      </w:r>
      <w:proofErr w:type="spellStart"/>
      <w:r w:rsidR="00F617D2">
        <w:t>Ростстата</w:t>
      </w:r>
      <w:proofErr w:type="spellEnd"/>
      <w:r w:rsidR="00F617D2">
        <w:t>). Цены на продукты питания выросли в среднем на 15,4%. За январь 2015-го года общая потребительская инфляция составила почти 4%. Цены на продукты питания выросли почти на 6%. Такой высокой инфляции в нашей стране не было 15 лет.</w:t>
      </w:r>
    </w:p>
    <w:p w:rsidR="00D44E29" w:rsidRPr="00D44E29" w:rsidRDefault="00D44E29" w:rsidP="00D44E29">
      <w:r w:rsidRPr="00D44E29">
        <w:t xml:space="preserve">Россияне в </w:t>
      </w:r>
      <w:r w:rsidR="00F617D2">
        <w:t>январе</w:t>
      </w:r>
      <w:r w:rsidRPr="00D44E29">
        <w:t xml:space="preserve"> продолжили снимать средства со своих рублевых депозитов и конвертировать их в доллары и евро. </w:t>
      </w:r>
      <w:r w:rsidR="00F617D2">
        <w:t xml:space="preserve">Только в Сбербанке рублевые депозиты сократились за месяц на 300 млрд. </w:t>
      </w:r>
      <w:r w:rsidRPr="00D44E29">
        <w:t>Но, благодаря переоценке валютных депозитов общий итог сберегательного процесса</w:t>
      </w:r>
      <w:r w:rsidR="00F617D2">
        <w:t xml:space="preserve"> </w:t>
      </w:r>
      <w:r w:rsidR="00ED5CDB">
        <w:t xml:space="preserve">пока </w:t>
      </w:r>
      <w:r w:rsidR="00F617D2">
        <w:t>не уходит в область отрицательных значений</w:t>
      </w:r>
      <w:r w:rsidRPr="00D44E29">
        <w:t xml:space="preserve">.   </w:t>
      </w:r>
    </w:p>
    <w:p w:rsidR="006311FE" w:rsidRDefault="00D44E29" w:rsidP="00D44E29">
      <w:r w:rsidRPr="00D44E29">
        <w:t xml:space="preserve">Как и предполагали </w:t>
      </w:r>
      <w:r w:rsidR="00F617D2">
        <w:t xml:space="preserve">аналитики и </w:t>
      </w:r>
      <w:r w:rsidR="00ED5CDB">
        <w:t xml:space="preserve">непосредственные </w:t>
      </w:r>
      <w:r w:rsidR="00F617D2">
        <w:t xml:space="preserve">участники рынков </w:t>
      </w:r>
      <w:r w:rsidR="00ED5CDB">
        <w:t xml:space="preserve">(производители, розница) </w:t>
      </w:r>
      <w:r w:rsidR="00F617D2">
        <w:t>за краткосрочным декабрьским бумом продаж товаров длительного пользования (автомобили, крупная бытовая техника) последовал более глубокий, чем обычный сезонный спад</w:t>
      </w:r>
      <w:r w:rsidRPr="00D44E29">
        <w:t>.</w:t>
      </w:r>
      <w:r w:rsidR="00475A8E">
        <w:t xml:space="preserve"> Итоги января еще не обнародованы, но прогнозы большинства участников весьма пессимистичны. Оценки глубины падения продаж в 1-м полугодии 2015-го года колеблются от </w:t>
      </w:r>
      <w:r w:rsidR="00ED5CDB">
        <w:t>«</w:t>
      </w:r>
      <w:r w:rsidR="00475A8E">
        <w:t>оптимистичных</w:t>
      </w:r>
      <w:r w:rsidR="00ED5CDB">
        <w:t>»</w:t>
      </w:r>
      <w:r w:rsidR="00475A8E">
        <w:t xml:space="preserve"> 20 </w:t>
      </w:r>
      <w:r w:rsidR="002A4821">
        <w:t xml:space="preserve">– </w:t>
      </w:r>
      <w:r w:rsidR="00475A8E">
        <w:t>25</w:t>
      </w:r>
      <w:r w:rsidR="002A4821">
        <w:t>%</w:t>
      </w:r>
      <w:r w:rsidR="00475A8E">
        <w:t xml:space="preserve"> </w:t>
      </w:r>
      <w:proofErr w:type="gramStart"/>
      <w:r w:rsidR="00475A8E">
        <w:t>до</w:t>
      </w:r>
      <w:proofErr w:type="gramEnd"/>
      <w:r w:rsidR="00475A8E">
        <w:t xml:space="preserve"> </w:t>
      </w:r>
      <w:proofErr w:type="gramStart"/>
      <w:r w:rsidR="00475A8E">
        <w:t>апокалиптических</w:t>
      </w:r>
      <w:proofErr w:type="gramEnd"/>
      <w:r w:rsidR="00475A8E">
        <w:t xml:space="preserve"> 50 – 70%</w:t>
      </w:r>
      <w:r w:rsidR="002A4821">
        <w:t xml:space="preserve"> (в два – три раза)</w:t>
      </w:r>
      <w:r w:rsidR="00475A8E">
        <w:t>.</w:t>
      </w:r>
    </w:p>
    <w:p w:rsidR="00D44E29" w:rsidRDefault="00ED5CDB" w:rsidP="00D44E29">
      <w:r>
        <w:t>На этом неблагоприятном фоне порадовала статистика посещаемости кинотеатров в первую (самую «ударную») декаду января</w:t>
      </w:r>
      <w:r w:rsidR="006311FE">
        <w:t>.</w:t>
      </w:r>
      <w:r w:rsidR="0046748B">
        <w:t xml:space="preserve"> </w:t>
      </w:r>
      <w:r>
        <w:t>Р</w:t>
      </w:r>
      <w:r w:rsidR="006311FE">
        <w:t>ост посещаемости</w:t>
      </w:r>
      <w:r>
        <w:t xml:space="preserve"> кинотеатров (по данным «Бюллетень кинопрокатчика») составил</w:t>
      </w:r>
      <w:r w:rsidR="006311FE">
        <w:t xml:space="preserve"> 30%</w:t>
      </w:r>
      <w:r>
        <w:t xml:space="preserve"> к аналогичному периоду 2014-го года. В еще</w:t>
      </w:r>
      <w:r w:rsidR="006311FE">
        <w:t xml:space="preserve"> больше</w:t>
      </w:r>
      <w:r>
        <w:t>й степени выросли</w:t>
      </w:r>
      <w:r w:rsidR="006311FE">
        <w:t xml:space="preserve"> сбор</w:t>
      </w:r>
      <w:r w:rsidR="0046748B">
        <w:t>ы</w:t>
      </w:r>
      <w:r w:rsidR="006311FE">
        <w:t xml:space="preserve"> (в рублях)</w:t>
      </w:r>
      <w:r>
        <w:t>, благодаря</w:t>
      </w:r>
      <w:r w:rsidR="006311FE">
        <w:t xml:space="preserve"> небольш</w:t>
      </w:r>
      <w:r>
        <w:t>ому -</w:t>
      </w:r>
      <w:r w:rsidR="006311FE">
        <w:t xml:space="preserve"> в пределах 7 </w:t>
      </w:r>
      <w:r w:rsidR="00CF48E8">
        <w:t xml:space="preserve">– </w:t>
      </w:r>
      <w:r w:rsidR="006311FE">
        <w:t>8% рост</w:t>
      </w:r>
      <w:r>
        <w:t>у</w:t>
      </w:r>
      <w:r w:rsidR="006311FE">
        <w:t xml:space="preserve"> средней цены билета</w:t>
      </w:r>
      <w:r>
        <w:t>. Однако</w:t>
      </w:r>
      <w:r w:rsidR="006311FE">
        <w:t xml:space="preserve"> в долларовом выражении выручка </w:t>
      </w:r>
      <w:r>
        <w:t xml:space="preserve">кинотеатров </w:t>
      </w:r>
      <w:r w:rsidR="006311FE">
        <w:t xml:space="preserve">сократилась </w:t>
      </w:r>
      <w:r>
        <w:t xml:space="preserve">примерно </w:t>
      </w:r>
      <w:r w:rsidR="006311FE">
        <w:t>на 30%</w:t>
      </w:r>
      <w:r>
        <w:t>.</w:t>
      </w:r>
      <w:r w:rsidR="0046748B">
        <w:t xml:space="preserve"> Рост интереса к посещению кинотеатров, с одной стороны, можно объяснить</w:t>
      </w:r>
      <w:r w:rsidR="00D44E29" w:rsidRPr="00D44E29">
        <w:t xml:space="preserve"> </w:t>
      </w:r>
      <w:r w:rsidR="0046748B">
        <w:t xml:space="preserve"> удачной подборкой «блокбастеров» для праздничного показа. Сразу четыре фильма (два из которых – российские) привлекли в кинотеатры по три и более миллиона зрителей, каждый. А, с другой стороны, поскольку в этом году количество зарубежных поездок на новогодние праздники снизилось в два раза или – примерно на миллион поездок, эти потребители (с довольно высоким уровнем дохода) пополнили целевую аудиторию развлекательных заведений в своих городах.</w:t>
      </w:r>
    </w:p>
    <w:p w:rsidR="004841DB" w:rsidRDefault="004841DB" w:rsidP="00D44E29">
      <w:r>
        <w:t xml:space="preserve">Расходы на покупку продуктов питания (данные – </w:t>
      </w:r>
      <w:proofErr w:type="spellStart"/>
      <w:r>
        <w:t>Ромир</w:t>
      </w:r>
      <w:proofErr w:type="spellEnd"/>
      <w:r>
        <w:t xml:space="preserve">) в январе 2015-го года выросли в номинальном выражении на </w:t>
      </w:r>
      <w:proofErr w:type="gramStart"/>
      <w:r>
        <w:t>символический</w:t>
      </w:r>
      <w:proofErr w:type="gramEnd"/>
      <w:r>
        <w:t xml:space="preserve"> 1% по сравнению с январем 2014-го. С учетом годовой продовольственной инфляции (17,5%) реальное потребление продуктов питания в январе 2015-го снизилось более чем на 15% по сравнению с январем 2014-го. А вот покупки непродовольственных товаров повседневного спроса в январе 2015-го выросли в номинальном выражении на 35% по сравнению с январем 2014-го. В реальном выражении рост потребления этой группы товаров составил от 10 до 20%. Очевидно, что в ожидании дальнейшего роста цен на непродовольственные товары </w:t>
      </w:r>
      <w:r w:rsidR="002A4821">
        <w:t xml:space="preserve">повседневного спроса </w:t>
      </w:r>
      <w:r>
        <w:t>потребители начали делать «сверхнормативные» закупки и создавать запасы. Провоцируя тем самым дальнейшее повышение</w:t>
      </w:r>
      <w:r w:rsidR="002A4821">
        <w:t xml:space="preserve"> цен на них. А теперь обо всем этом подробнее.</w:t>
      </w:r>
    </w:p>
    <w:p w:rsidR="002A4821" w:rsidRPr="00D44E29" w:rsidRDefault="002A4821" w:rsidP="00D44E29"/>
    <w:p w:rsidR="00BF5238" w:rsidRDefault="00D44E29" w:rsidP="00D44E29">
      <w:r w:rsidRPr="00D44E29">
        <w:lastRenderedPageBreak/>
        <w:t xml:space="preserve">По данным исследовательского холдинга </w:t>
      </w:r>
      <w:proofErr w:type="spellStart"/>
      <w:r w:rsidRPr="00D44E29">
        <w:t>Ромир</w:t>
      </w:r>
      <w:proofErr w:type="spellEnd"/>
      <w:r w:rsidRPr="00D44E29">
        <w:t xml:space="preserve">, полученным  по технологии непрерывного сканирования покупок в домашних хозяйствах – </w:t>
      </w:r>
      <w:r w:rsidRPr="00D44E29">
        <w:rPr>
          <w:b/>
        </w:rPr>
        <w:t>см. Справку</w:t>
      </w:r>
      <w:r w:rsidRPr="00D44E29">
        <w:t xml:space="preserve"> – в </w:t>
      </w:r>
      <w:r w:rsidR="001C7C90">
        <w:t>январе 2015</w:t>
      </w:r>
      <w:r w:rsidRPr="00D44E29">
        <w:t xml:space="preserve">-го года повседневные потребительские расходы </w:t>
      </w:r>
      <w:r w:rsidR="001C7C90">
        <w:t>снизились</w:t>
      </w:r>
      <w:r w:rsidRPr="00D44E29">
        <w:t xml:space="preserve"> в номинальном выражении на </w:t>
      </w:r>
      <w:r w:rsidR="001C7C90">
        <w:t>22</w:t>
      </w:r>
      <w:r w:rsidRPr="00D44E29">
        <w:t xml:space="preserve">% по сравнению с </w:t>
      </w:r>
      <w:r w:rsidR="001C7C90">
        <w:t>декабрем 2014-го</w:t>
      </w:r>
      <w:r w:rsidRPr="00D44E29">
        <w:t xml:space="preserve">. </w:t>
      </w:r>
      <w:r w:rsidR="001C7C90">
        <w:t xml:space="preserve">Таким же глубоким было снижение повседневных расходов и </w:t>
      </w:r>
      <w:r w:rsidR="00171081">
        <w:t xml:space="preserve">год назад – </w:t>
      </w:r>
      <w:r w:rsidR="001C7C90">
        <w:t>в</w:t>
      </w:r>
      <w:r w:rsidR="00171081">
        <w:t xml:space="preserve"> </w:t>
      </w:r>
      <w:r w:rsidR="001C7C90">
        <w:t>январе 2014-го. А вот</w:t>
      </w:r>
      <w:r w:rsidRPr="00D44E29">
        <w:t xml:space="preserve"> 201</w:t>
      </w:r>
      <w:r w:rsidR="001C7C90">
        <w:t>0</w:t>
      </w:r>
      <w:r w:rsidRPr="00D44E29">
        <w:t xml:space="preserve">-м </w:t>
      </w:r>
      <w:r w:rsidR="001C7C90">
        <w:t xml:space="preserve">и 2012-м </w:t>
      </w:r>
      <w:r w:rsidRPr="00D44E29">
        <w:t>г</w:t>
      </w:r>
      <w:r w:rsidR="001C7C90">
        <w:t>г. сезонное январское снижение расходов ограничивалось 12 – 15%. Зато в январе 2009-го</w:t>
      </w:r>
      <w:r w:rsidR="00B2380E">
        <w:t xml:space="preserve"> (аналогии с которым часто стали проводить в последнее время) снижение повседневных расходов к декабрю 2008-го составило 20%.</w:t>
      </w:r>
      <w:r w:rsidR="00171081">
        <w:t xml:space="preserve">  </w:t>
      </w:r>
    </w:p>
    <w:p w:rsidR="00D44E29" w:rsidRDefault="00171081" w:rsidP="00D44E29">
      <w:r>
        <w:t>С учетом того, что в декабре 2014-го имел место очень значительный рост повседневных расходов (</w:t>
      </w:r>
      <w:r w:rsidR="00D44E29" w:rsidRPr="00D44E29">
        <w:t xml:space="preserve">на продукты питания </w:t>
      </w:r>
      <w:r w:rsidR="00164E5E">
        <w:t xml:space="preserve">расходы </w:t>
      </w:r>
      <w:r w:rsidR="00D44E29" w:rsidRPr="00D44E29">
        <w:t xml:space="preserve">выросли по сравнению с ноябрем на 30%, а на непродовольственные товары повседневного спроса </w:t>
      </w:r>
      <w:r w:rsidR="00164E5E">
        <w:t xml:space="preserve">- </w:t>
      </w:r>
      <w:r w:rsidR="00D44E29" w:rsidRPr="00D44E29">
        <w:t>на 16%</w:t>
      </w:r>
      <w:r>
        <w:t>) говорить о</w:t>
      </w:r>
      <w:r w:rsidR="00164E5E">
        <w:t xml:space="preserve"> каком-то экстремальном снижении повседневных расходов в нынешнем январе не приходится</w:t>
      </w:r>
      <w:r w:rsidR="00D44E29" w:rsidRPr="00D44E29">
        <w:t>.</w:t>
      </w:r>
      <w:r w:rsidR="00164E5E">
        <w:t xml:space="preserve"> </w:t>
      </w:r>
      <w:r w:rsidR="00D44E29" w:rsidRPr="00D44E29">
        <w:t xml:space="preserve"> </w:t>
      </w:r>
    </w:p>
    <w:p w:rsidR="00BF5238" w:rsidRDefault="00BF5238" w:rsidP="00D44E29">
      <w:r>
        <w:t>Расходы на покупку продуктов питания снизились в январе 2015-го сразу на 30% по сравнению с декабрем 2014-го. И опустились к номинальному уровню «</w:t>
      </w:r>
      <w:proofErr w:type="spellStart"/>
      <w:r>
        <w:t>предсанкционного</w:t>
      </w:r>
      <w:proofErr w:type="spellEnd"/>
      <w:r>
        <w:t xml:space="preserve">» июля 2014-го. </w:t>
      </w:r>
      <w:r w:rsidR="00B316C9">
        <w:t xml:space="preserve">    По-видимому, основные покупки продуктов к праздничному столу были совершены еще в конце декабря. </w:t>
      </w:r>
      <w:r>
        <w:t xml:space="preserve">Доля расходов на покупку продуктов питания в повседневной корзине (без учета крупных покупок и оплаты услуг) снизилась с декабрьских 59% до 52%. Это самый низкий уровень за весь период наблюдений </w:t>
      </w:r>
      <w:proofErr w:type="spellStart"/>
      <w:r>
        <w:t>Ромир</w:t>
      </w:r>
      <w:proofErr w:type="spellEnd"/>
      <w:r w:rsidR="00B316C9">
        <w:t>. Предыдущий минимум (54%) был зафиксирован в июле 2012-го года.</w:t>
      </w:r>
    </w:p>
    <w:p w:rsidR="00B316C9" w:rsidRPr="00D44E29" w:rsidRDefault="00B316C9" w:rsidP="00D44E29">
      <w:r>
        <w:t>Доля расходов на приобретение непродовольственных товаров повседневного спроса, соответственно выросла с 41 до 48%. Это произошло из-за того, что номинальное снижение расходов на непродовольственные товары повседневного спроса в январе 2015-го оказалось не столь значительным – всего 10%.</w:t>
      </w:r>
    </w:p>
    <w:p w:rsidR="00834129" w:rsidRDefault="00D44E29" w:rsidP="00D44E29">
      <w:r w:rsidRPr="00D44E29">
        <w:t xml:space="preserve">По сравнению с </w:t>
      </w:r>
      <w:r w:rsidR="00B316C9">
        <w:t>январем</w:t>
      </w:r>
      <w:r w:rsidRPr="00D44E29">
        <w:t xml:space="preserve"> прошлого года повседневные расходы выросли в номинальном выражении на 15%, что </w:t>
      </w:r>
      <w:r w:rsidR="00B316C9">
        <w:t>ниже</w:t>
      </w:r>
      <w:r w:rsidRPr="00D44E29">
        <w:t xml:space="preserve"> уровн</w:t>
      </w:r>
      <w:r w:rsidR="00B316C9">
        <w:t>я</w:t>
      </w:r>
      <w:r w:rsidRPr="00D44E29">
        <w:t xml:space="preserve"> инфляции продовольственного рынка</w:t>
      </w:r>
      <w:r w:rsidR="00B316C9">
        <w:t>, н</w:t>
      </w:r>
      <w:r w:rsidRPr="00D44E29">
        <w:t>о немного превышает уровень общей потребительской инфляции, оцениваемый Росстатом в 1</w:t>
      </w:r>
      <w:r w:rsidR="00834129">
        <w:t>3,5</w:t>
      </w:r>
      <w:r w:rsidRPr="00D44E29">
        <w:t xml:space="preserve">% в годовом выражении. Таким образом, реальные повседневные расходы в </w:t>
      </w:r>
      <w:r w:rsidR="00834129">
        <w:t>январе</w:t>
      </w:r>
      <w:r w:rsidRPr="00D44E29">
        <w:t xml:space="preserve"> 201</w:t>
      </w:r>
      <w:r w:rsidR="00834129">
        <w:t>5</w:t>
      </w:r>
      <w:r w:rsidRPr="00D44E29">
        <w:t xml:space="preserve">-го оказались выше расходов </w:t>
      </w:r>
      <w:r w:rsidR="00834129">
        <w:t>января 2014</w:t>
      </w:r>
      <w:r w:rsidRPr="00D44E29">
        <w:t xml:space="preserve">-го года на </w:t>
      </w:r>
      <w:proofErr w:type="gramStart"/>
      <w:r w:rsidR="00834129">
        <w:t>символический</w:t>
      </w:r>
      <w:proofErr w:type="gramEnd"/>
      <w:r w:rsidR="00834129">
        <w:t xml:space="preserve"> 1</w:t>
      </w:r>
      <w:r w:rsidRPr="00D44E29">
        <w:t xml:space="preserve">%. </w:t>
      </w:r>
    </w:p>
    <w:p w:rsidR="00D44E29" w:rsidRPr="00D44E29" w:rsidRDefault="00D44E29" w:rsidP="00D44E29">
      <w:r w:rsidRPr="00D44E29">
        <w:t xml:space="preserve">Рост реальных повседневных расходов в годовом выражении </w:t>
      </w:r>
      <w:proofErr w:type="spellStart"/>
      <w:r w:rsidRPr="00D44E29">
        <w:t>Ромир</w:t>
      </w:r>
      <w:proofErr w:type="spellEnd"/>
      <w:r w:rsidRPr="00D44E29">
        <w:t xml:space="preserve"> фиксирует </w:t>
      </w:r>
      <w:r w:rsidR="00834129">
        <w:t>третий месяц</w:t>
      </w:r>
      <w:r w:rsidRPr="00D44E29">
        <w:t xml:space="preserve"> подряд. Последний раз такое было в </w:t>
      </w:r>
      <w:r w:rsidR="00834129">
        <w:t xml:space="preserve">июле – </w:t>
      </w:r>
      <w:r w:rsidRPr="00D44E29">
        <w:t>сентябре</w:t>
      </w:r>
      <w:r w:rsidR="00834129">
        <w:t xml:space="preserve"> </w:t>
      </w:r>
      <w:r w:rsidRPr="00D44E29">
        <w:t xml:space="preserve">2013-го года. С октября 2013-го по апрель 2014-го и в сентябре 2014-го наблюдалось снижение номинальных повседневных расходов на 1 – 4%, а реальных – на 7 – 11% в годовом выражении. С мая по июль 2014-го имел место небольшой (4 – 6%) номинальный рост повседневных расходов. С поправкой на инфляцию в эти месяцы можно было говорить о снижении реального объема повседневного потребления в пределах 1,5 – 3%. </w:t>
      </w:r>
      <w:r w:rsidRPr="00D44E29">
        <w:rPr>
          <w:b/>
        </w:rPr>
        <w:t>См. Диаграмму 1</w:t>
      </w:r>
      <w:r w:rsidRPr="00D44E29">
        <w:t>.</w:t>
      </w:r>
      <w:r w:rsidR="00834129">
        <w:t xml:space="preserve"> Однако</w:t>
      </w:r>
      <w:proofErr w:type="gramStart"/>
      <w:r w:rsidR="00834129">
        <w:t>,</w:t>
      </w:r>
      <w:proofErr w:type="gramEnd"/>
      <w:r w:rsidR="00834129">
        <w:t xml:space="preserve"> нельзя не заметить, что этот рост носит затухающий характер. В ноябре 2014-го можно было говорить о </w:t>
      </w:r>
      <w:proofErr w:type="gramStart"/>
      <w:r w:rsidR="00834129">
        <w:t>значимых</w:t>
      </w:r>
      <w:proofErr w:type="gramEnd"/>
      <w:r w:rsidR="00834129">
        <w:t xml:space="preserve"> 2 – 3% реального роста повседневного потребления. В декабре – только о 1,5 – 2%, а в январе 2015-го – лишь об 1%. С большой вероятностью разгоняющая потребительская инфляция уже в феврале уведет показатели реального повседневного потребления в область отрицательных значений.</w:t>
      </w:r>
    </w:p>
    <w:p w:rsidR="00B316C9" w:rsidRDefault="00B316C9" w:rsidP="00D44E29">
      <w:pPr>
        <w:rPr>
          <w:b/>
        </w:rPr>
      </w:pPr>
      <w:r>
        <w:rPr>
          <w:b/>
        </w:rPr>
        <w:br/>
      </w:r>
    </w:p>
    <w:p w:rsidR="00B316C9" w:rsidRDefault="00B316C9">
      <w:pPr>
        <w:rPr>
          <w:b/>
        </w:rPr>
      </w:pPr>
      <w:r>
        <w:rPr>
          <w:b/>
        </w:rPr>
        <w:br w:type="page"/>
      </w:r>
    </w:p>
    <w:p w:rsidR="00D44E29" w:rsidRPr="00D44E29" w:rsidRDefault="00D44E29" w:rsidP="00D44E29">
      <w:pPr>
        <w:rPr>
          <w:b/>
        </w:rPr>
      </w:pPr>
      <w:r w:rsidRPr="00D44E29">
        <w:rPr>
          <w:b/>
        </w:rPr>
        <w:lastRenderedPageBreak/>
        <w:t>Диаграмма 1. Номинальные и реальные темпы роста повседневных расходов в январе – декабре 2014-го года</w:t>
      </w:r>
      <w:r w:rsidR="00B316C9">
        <w:rPr>
          <w:b/>
        </w:rPr>
        <w:t xml:space="preserve"> и январе 2015-го</w:t>
      </w:r>
      <w:r w:rsidRPr="00D44E29">
        <w:rPr>
          <w:b/>
        </w:rPr>
        <w:t xml:space="preserve">. </w:t>
      </w:r>
      <w:proofErr w:type="gramStart"/>
      <w:r w:rsidRPr="00D44E29">
        <w:rPr>
          <w:b/>
        </w:rPr>
        <w:t>В</w:t>
      </w:r>
      <w:proofErr w:type="gramEnd"/>
      <w:r w:rsidRPr="00D44E29">
        <w:rPr>
          <w:b/>
        </w:rPr>
        <w:t xml:space="preserve"> % к соответствующему месяцу </w:t>
      </w:r>
      <w:r w:rsidR="00B316C9">
        <w:rPr>
          <w:b/>
        </w:rPr>
        <w:t xml:space="preserve">предыдущего </w:t>
      </w:r>
      <w:r w:rsidRPr="00D44E29">
        <w:rPr>
          <w:b/>
        </w:rPr>
        <w:t>года.</w:t>
      </w:r>
    </w:p>
    <w:p w:rsidR="00D44E29" w:rsidRPr="00D44E29" w:rsidRDefault="00D44E29" w:rsidP="00D44E29">
      <w:r w:rsidRPr="00D44E29">
        <w:rPr>
          <w:noProof/>
          <w:lang w:eastAsia="ru-RU"/>
        </w:rPr>
        <w:drawing>
          <wp:inline distT="0" distB="0" distL="0" distR="0" wp14:anchorId="357D5B9F" wp14:editId="2530BA21">
            <wp:extent cx="5486400" cy="2054352"/>
            <wp:effectExtent l="0" t="0" r="1905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4E29" w:rsidRPr="00D44E29" w:rsidRDefault="00D44E29" w:rsidP="00D44E29">
      <w:pPr>
        <w:rPr>
          <w:b/>
        </w:rPr>
      </w:pPr>
      <w:r w:rsidRPr="00D44E29">
        <w:rPr>
          <w:b/>
        </w:rPr>
        <w:t xml:space="preserve">Источник - </w:t>
      </w:r>
      <w:proofErr w:type="spellStart"/>
      <w:r w:rsidRPr="00D44E29">
        <w:rPr>
          <w:b/>
        </w:rPr>
        <w:t>Ромир</w:t>
      </w:r>
      <w:proofErr w:type="spellEnd"/>
    </w:p>
    <w:p w:rsidR="001D3C7C" w:rsidRDefault="001D3C7C" w:rsidP="00D44E29">
      <w:r>
        <w:t xml:space="preserve">Расходы на продукты питания в январе 2015-го года выросли в номинальном выражении на </w:t>
      </w:r>
      <w:proofErr w:type="gramStart"/>
      <w:r>
        <w:t>символический</w:t>
      </w:r>
      <w:proofErr w:type="gramEnd"/>
      <w:r>
        <w:t xml:space="preserve"> 1% по сравнению с январем 2014-го. С учетом инфляции пр</w:t>
      </w:r>
      <w:r w:rsidR="008C3317">
        <w:t>одовольственного</w:t>
      </w:r>
      <w:r>
        <w:t xml:space="preserve"> рынка (17 – 18% в годовом выражении) можно говорить о снижении реального потребления </w:t>
      </w:r>
      <w:r w:rsidR="00074A47">
        <w:t xml:space="preserve">продуктов </w:t>
      </w:r>
      <w:r>
        <w:t xml:space="preserve">почти на 15%. Столь значительное снижение потребления стало результатом многообразной «оптимизации» продовольственной корзины потребителями. </w:t>
      </w:r>
      <w:r w:rsidR="00074A47">
        <w:t>Очевидно, что такая значительная «экономия» могла быть достигнута благодаря переключениям больших групп потребителей на более дешевые товары как внутри одной и той же категории, так и между категориями. Переориентации на приобретение продуктов в магазинах «доступных цен» - в первую очередь – гипермаркетах. А также благодаря активному использованию купонов, дисконтных карт, специальных предложений и прочих скидок</w:t>
      </w:r>
      <w:r w:rsidR="008C3317">
        <w:t>, предлагаемых торговыми сетями</w:t>
      </w:r>
      <w:r w:rsidR="00074A47">
        <w:t>.</w:t>
      </w:r>
      <w:r w:rsidR="008C3317">
        <w:t xml:space="preserve"> Кроме того, потребители могли сокращать объемы покупок подорожавших продуктов питания, а то и вовсе отказываться от приобретения тех или иных деликатесов. Опросы, проведенные </w:t>
      </w:r>
      <w:proofErr w:type="spellStart"/>
      <w:r w:rsidR="008C3317">
        <w:t>Ромир</w:t>
      </w:r>
      <w:proofErr w:type="spellEnd"/>
      <w:r w:rsidR="008C3317">
        <w:t xml:space="preserve"> в 2014-м году, подтверждают, что две трети потребителей активно используют несколько из этих способов в той или иной комбинации для «оптимизации» своей продовольственной корзины.</w:t>
      </w:r>
    </w:p>
    <w:p w:rsidR="00074A47" w:rsidRDefault="008C3317" w:rsidP="00D44E29">
      <w:r>
        <w:t xml:space="preserve">А вот расходы на покупку непродовольственных товаров повседневного спроса за год (с января 2014-го) выросли в номинальном выражении на 35%, т.е. – более чем на треть. Даже с поправкой на инфляцию по этой группе товаров </w:t>
      </w:r>
      <w:proofErr w:type="gramStart"/>
      <w:r>
        <w:t>получается</w:t>
      </w:r>
      <w:proofErr w:type="gramEnd"/>
      <w:r>
        <w:t xml:space="preserve"> что реальный рост потребления повседневных непродовольственных товаров составляет внушительные 15 – 20% за год. Гипотеза о массовом переключении покупок на более раскрученные бренды, в более дорогих магазинах</w:t>
      </w:r>
      <w:r w:rsidR="001C2F44">
        <w:t>, на более дорогие категории не выдерживает проверки ни здравым смыслом (кризис на дворе), ни реальностью отраженной в кассовых чеках. А вот увеличение физического объема приобретения тех или иных непродовольственных товаров повседневного спроса – это правда. В ожидании дальнейшего роста цен на непродовольственные товары многие потребители стремятся создать у себя дома запасы этих товаров. Тем более что большинство из них не требуют специальных условий хранения, а срок их пригодности к употреблению истекает только через несколько лет. Неприятный парадокс состоит в том, что стремясь защитить себя от повседневной инфляции и формируя дополнительные запасы</w:t>
      </w:r>
      <w:r w:rsidR="002429E2">
        <w:t>,</w:t>
      </w:r>
      <w:r w:rsidR="001C2F44">
        <w:t xml:space="preserve"> потребители создают предпосылки для дальнейшего роста цен на эти товары. Ведь производители и розница видя хороший спрос на свою продукцию </w:t>
      </w:r>
      <w:proofErr w:type="gramStart"/>
      <w:r w:rsidR="001C2F44">
        <w:t>по</w:t>
      </w:r>
      <w:proofErr w:type="gramEnd"/>
      <w:r w:rsidR="001C2F44">
        <w:t xml:space="preserve"> и </w:t>
      </w:r>
      <w:proofErr w:type="gramStart"/>
      <w:r w:rsidR="001C2F44">
        <w:t>без</w:t>
      </w:r>
      <w:proofErr w:type="gramEnd"/>
      <w:r w:rsidR="001C2F44">
        <w:t xml:space="preserve"> того уже возросшим ценам резонно предполагают, что и дальне могут повышать цены, раз есть хороший спрос.</w:t>
      </w:r>
    </w:p>
    <w:p w:rsidR="001C2F44" w:rsidRDefault="00253072" w:rsidP="00D44E29">
      <w:r>
        <w:lastRenderedPageBreak/>
        <w:t>Благодаря экстремально высокому спросу на непродовольственные товары в январе 2015-го года их доля в повседневной корзине (без учета крупных покупок и оплаты услуг) возросла до исторического максимума – 48%. В январе 2014-го и в январе 2009-го она составляла по 40%. В январе 2010 – 2013 гг. была ниже 30%.</w:t>
      </w:r>
      <w:r w:rsidR="002429E2">
        <w:t xml:space="preserve"> </w:t>
      </w:r>
    </w:p>
    <w:p w:rsidR="002429E2" w:rsidRPr="001D3C7C" w:rsidRDefault="002429E2" w:rsidP="00D44E29">
      <w:r>
        <w:t>За три года (с января 2012-го) номинальный рост повседневных расходов составил 23%. Это ниже показателя</w:t>
      </w:r>
      <w:r w:rsidR="009F0078">
        <w:t xml:space="preserve"> инфляции потребительского рынка </w:t>
      </w:r>
      <w:r w:rsidR="009F0078">
        <w:t>(28%)</w:t>
      </w:r>
      <w:r w:rsidR="009F0078">
        <w:t xml:space="preserve"> на пять процентных пунктов. За пять лет (с января 2010) номинальный рост повседневных расходов составил 61%. Это выше инфляции потребительского рынка (48%) на 13 процентных пунктов. Так что по сравнению с январем 2010-го можно говорить о росте повседневного реального потребления в пределах 8 – 10%.</w:t>
      </w:r>
    </w:p>
    <w:p w:rsidR="00834129" w:rsidRPr="00D44E29" w:rsidRDefault="00834129" w:rsidP="00D44E29">
      <w:pPr>
        <w:rPr>
          <w:b/>
          <w:u w:val="single"/>
        </w:rPr>
      </w:pPr>
    </w:p>
    <w:p w:rsidR="00D44E29" w:rsidRPr="00D44E29" w:rsidRDefault="00D44E29" w:rsidP="00D44E29">
      <w:pPr>
        <w:rPr>
          <w:b/>
          <w:u w:val="single"/>
        </w:rPr>
      </w:pPr>
      <w:r w:rsidRPr="00D44E29">
        <w:rPr>
          <w:b/>
          <w:u w:val="single"/>
        </w:rPr>
        <w:t>Города</w:t>
      </w:r>
    </w:p>
    <w:p w:rsidR="00C922A9" w:rsidRDefault="00D44E29" w:rsidP="00D44E29">
      <w:r w:rsidRPr="00D44E29">
        <w:t xml:space="preserve">В Москве индекс потребительской активности в </w:t>
      </w:r>
      <w:r w:rsidR="007C2155">
        <w:t xml:space="preserve">январе 2015-го года снизился на 25% по сравнению с уровнем декабря 2014-го. В прошлом году (а также в 2009-м) аналогичное снижение составляло 27%. В 2013-м году – расходы снизились к декабрю на 23%. В 2012-м – только на 21%. </w:t>
      </w:r>
    </w:p>
    <w:p w:rsidR="00D44E29" w:rsidRDefault="007C2155" w:rsidP="00D44E29">
      <w:r>
        <w:t xml:space="preserve">По сравнению с январем 2014-го года повседневные расходы выросли в Москве на 22%, обогнав и общую потребительскую инфляцию (почти в два раза), и продовольственную инфляцию – на несколько процентных пунктов.  Здесь будет уместно напомнить, что в 2014-м году январские расходы оказались даже на 10% ниже расходов января 2013-го. А вот в январе 2013-го имел место рост повседневных расходов в столице на 20%. </w:t>
      </w:r>
      <w:r w:rsidR="00D44E29" w:rsidRPr="00D44E29">
        <w:t xml:space="preserve">Значительный рост повседневных расходов в Москве в декабре 2014-го </w:t>
      </w:r>
      <w:r>
        <w:t xml:space="preserve">и январе 2015-го </w:t>
      </w:r>
      <w:r w:rsidR="00D44E29" w:rsidRPr="00D44E29">
        <w:t>поддерживает нашу гипотезу о том, что часть москвичей отказались от заграничных новогодних поездок и остались праздновать Новый Год дома.</w:t>
      </w:r>
    </w:p>
    <w:p w:rsidR="00906BA9" w:rsidRPr="00D44E29" w:rsidRDefault="00906BA9" w:rsidP="00D44E29">
      <w:r>
        <w:t xml:space="preserve">За пять лет (с января 2010-го) повседневные расходы в Москве выросли в номинальном выражении без малого на 60%. Что </w:t>
      </w:r>
      <w:r w:rsidR="00A47121">
        <w:t>на 8% или 12 процентных пунктов выше</w:t>
      </w:r>
      <w:r>
        <w:t xml:space="preserve"> потребительской инфляции, накопленной за эту пятилетку. </w:t>
      </w:r>
    </w:p>
    <w:p w:rsidR="00D44E29" w:rsidRPr="00D44E29" w:rsidRDefault="00D44E29" w:rsidP="00D44E29">
      <w:r w:rsidRPr="00D44E29">
        <w:t xml:space="preserve">В Санкт-Петербурге повседневные расходы в декабре 2014-го выросли по сравнению ноябрем на 31,3%. Это </w:t>
      </w:r>
      <w:r w:rsidR="00906BA9">
        <w:t xml:space="preserve">был </w:t>
      </w:r>
      <w:r w:rsidRPr="00D44E29">
        <w:t xml:space="preserve">самый значительный предновогодний рост за весь период наблюдений. </w:t>
      </w:r>
      <w:r w:rsidR="00906BA9">
        <w:t xml:space="preserve">В январе 2015-го снижение расходов составило 28% по сравнению с декабрем. Это самое значительное снижение расходов с января 2011-го (тогда они тоже сократились на 28%). </w:t>
      </w:r>
      <w:r w:rsidRPr="00D44E29">
        <w:t xml:space="preserve">По сравнению с </w:t>
      </w:r>
      <w:r w:rsidR="00906BA9">
        <w:t>январем</w:t>
      </w:r>
      <w:r w:rsidRPr="00D44E29">
        <w:t xml:space="preserve"> 201</w:t>
      </w:r>
      <w:r w:rsidR="00906BA9">
        <w:t>4</w:t>
      </w:r>
      <w:r w:rsidRPr="00D44E29">
        <w:t xml:space="preserve">-го года повседневные расходы в Петербурге выросли </w:t>
      </w:r>
      <w:r w:rsidR="00906BA9">
        <w:t>всего на 2,75% в номинальном выражении</w:t>
      </w:r>
      <w:r w:rsidRPr="00D44E29">
        <w:t>.</w:t>
      </w:r>
      <w:r w:rsidR="00906BA9">
        <w:t xml:space="preserve"> С поправкой на инфляцию речь может идти о сокращении реального уровня расходов на 10%.</w:t>
      </w:r>
      <w:r w:rsidR="00A61B2D">
        <w:t xml:space="preserve"> За пять лет (с января 2010-го) номинальный рост повседневных расходов в Петербурге составил 75%, реальный – 18,5%.</w:t>
      </w:r>
    </w:p>
    <w:p w:rsidR="00D44E29" w:rsidRDefault="00D44E29" w:rsidP="00D44E29">
      <w:r w:rsidRPr="00D44E29">
        <w:t xml:space="preserve">В городах с населением 1 – 1,5 миллиона жителей повседневное потребление в </w:t>
      </w:r>
      <w:r w:rsidR="00A61B2D">
        <w:t>январе 2015-го года снизилось на 22% по сравнению с декабрем 2014-го. Это самое значительное снижение январского потребления за весь период наблюдений. Обычно январский спад повседневных расходов укладывался в этих городах в пределы от 8 до 18%.  Но ведь в декабре 2014-го оно (повседневное потребление)</w:t>
      </w:r>
      <w:r w:rsidRPr="00D44E29">
        <w:t xml:space="preserve"> выросло по сравнению с ноябрем на 23%. И это тоже </w:t>
      </w:r>
      <w:r w:rsidR="00A61B2D">
        <w:t xml:space="preserve">был </w:t>
      </w:r>
      <w:r w:rsidRPr="00D44E29">
        <w:t>самый высокий рост за весь период наблюдений.</w:t>
      </w:r>
      <w:r w:rsidR="00EF659A">
        <w:t xml:space="preserve"> За год повседневные расходы в «</w:t>
      </w:r>
      <w:proofErr w:type="spellStart"/>
      <w:r w:rsidR="00EF659A">
        <w:t>миллионниках</w:t>
      </w:r>
      <w:proofErr w:type="spellEnd"/>
      <w:r w:rsidR="00EF659A">
        <w:t>» выросли на 5,75% в номинальном выражении</w:t>
      </w:r>
      <w:r w:rsidRPr="00D44E29">
        <w:t>.</w:t>
      </w:r>
      <w:r w:rsidR="00EF659A">
        <w:t xml:space="preserve"> Это ниже инфляции потребительского рынка более чем в два раза. В реальном выражении имеет место снижение потребления на 7%.</w:t>
      </w:r>
    </w:p>
    <w:p w:rsidR="00EF659A" w:rsidRPr="00D44E29" w:rsidRDefault="00EF659A" w:rsidP="00D44E29">
      <w:r>
        <w:lastRenderedPageBreak/>
        <w:t>За пять лет (с января 2010-го) номинальные повседневные расходы в этих городах выросли в среднем на 61%. Что выше инфляции потребительского рынка на 13 пунктов или почти 9%.</w:t>
      </w:r>
    </w:p>
    <w:p w:rsidR="00D44E29" w:rsidRPr="00D44E29" w:rsidRDefault="00D44E29" w:rsidP="00D44E29">
      <w:r w:rsidRPr="00D44E29">
        <w:t xml:space="preserve">В городах с населением 500 – 800 тысяч жителей повседневные расходы в </w:t>
      </w:r>
      <w:r w:rsidR="00EF659A">
        <w:t>январе 2015-го снизились по сравнению с показателем декабря 2014-го на 17%. Это совершенно «нормальное» сезонное снижение.  Такое же наблюдалось и в предыдущие годы</w:t>
      </w:r>
      <w:proofErr w:type="gramStart"/>
      <w:r w:rsidR="00EF659A">
        <w:t>.</w:t>
      </w:r>
      <w:proofErr w:type="gramEnd"/>
      <w:r w:rsidRPr="00D44E29">
        <w:t xml:space="preserve"> </w:t>
      </w:r>
      <w:r w:rsidR="00EF659A">
        <w:t xml:space="preserve">За год (с января 2014-го) повседневные расходы выросли в этих городах на 20%, обогнав потребительскую инфляцию на 6 -7 процентных пунктов. </w:t>
      </w:r>
      <w:r w:rsidRPr="00D44E29">
        <w:t xml:space="preserve">В реальном выражении можно говорить о росте потребительских расходов за год </w:t>
      </w:r>
      <w:r w:rsidR="00EF659A">
        <w:t xml:space="preserve">примерно на 6%. В декабре реальный рост потребления в крупных городах был на уровне </w:t>
      </w:r>
      <w:r w:rsidRPr="00D44E29">
        <w:t>всего</w:t>
      </w:r>
      <w:r w:rsidR="00EF659A">
        <w:t xml:space="preserve"> лишь</w:t>
      </w:r>
      <w:r w:rsidRPr="00D44E29">
        <w:t xml:space="preserve"> 2 – 2,5%. </w:t>
      </w:r>
      <w:r w:rsidR="00896718">
        <w:t xml:space="preserve">Но, все же это был рост! А вот в </w:t>
      </w:r>
      <w:r w:rsidRPr="00D44E29">
        <w:t>ноябре</w:t>
      </w:r>
      <w:r w:rsidR="00896718">
        <w:t xml:space="preserve"> 2014-го рост реальных расходов составлял</w:t>
      </w:r>
      <w:r w:rsidRPr="00D44E29">
        <w:t xml:space="preserve"> </w:t>
      </w:r>
      <w:proofErr w:type="gramStart"/>
      <w:r w:rsidRPr="00D44E29">
        <w:t>впечатляющи</w:t>
      </w:r>
      <w:r w:rsidR="00896718">
        <w:t>е</w:t>
      </w:r>
      <w:proofErr w:type="gramEnd"/>
      <w:r w:rsidRPr="00D44E29">
        <w:t xml:space="preserve"> 8 – 9%</w:t>
      </w:r>
      <w:r w:rsidR="00896718">
        <w:t xml:space="preserve"> в годовом выражении</w:t>
      </w:r>
      <w:r w:rsidRPr="00D44E29">
        <w:t xml:space="preserve">. За </w:t>
      </w:r>
      <w:r w:rsidR="00896718">
        <w:t>пять лет</w:t>
      </w:r>
      <w:r w:rsidRPr="00D44E29">
        <w:t xml:space="preserve"> (с </w:t>
      </w:r>
      <w:r w:rsidR="00896718">
        <w:t>января</w:t>
      </w:r>
      <w:r w:rsidRPr="00D44E29">
        <w:t xml:space="preserve"> 201</w:t>
      </w:r>
      <w:r w:rsidR="00896718">
        <w:t>0</w:t>
      </w:r>
      <w:r w:rsidRPr="00D44E29">
        <w:t xml:space="preserve">-го) номинальный рост расходов в городах этого размера составил </w:t>
      </w:r>
      <w:r w:rsidR="00896718">
        <w:t>62</w:t>
      </w:r>
      <w:r w:rsidRPr="00D44E29">
        <w:t>,5%</w:t>
      </w:r>
      <w:r w:rsidR="00896718">
        <w:t>. Что с поправкой на инфляцию дает рост реального потребления на уровне 10%</w:t>
      </w:r>
      <w:r w:rsidRPr="00D44E29">
        <w:t xml:space="preserve">. </w:t>
      </w:r>
    </w:p>
    <w:p w:rsidR="00D44E29" w:rsidRPr="00D44E29" w:rsidRDefault="00D44E29" w:rsidP="00D44E29">
      <w:r w:rsidRPr="00D44E29">
        <w:t xml:space="preserve">В городах с населением 100 – 450 тысяч жителей повседневные расходы в </w:t>
      </w:r>
      <w:r w:rsidR="00896718">
        <w:t xml:space="preserve">январе 2015-го года снизились по сравнению со значением </w:t>
      </w:r>
      <w:r w:rsidRPr="00D44E29">
        <w:t>декабр</w:t>
      </w:r>
      <w:r w:rsidR="00896718">
        <w:t>я</w:t>
      </w:r>
      <w:r w:rsidRPr="00D44E29">
        <w:t xml:space="preserve"> 2014-го </w:t>
      </w:r>
      <w:r w:rsidR="00896718">
        <w:t>на 25%. Год назад аналогичное снижение составило 33%. Зато два года назад – только 17%</w:t>
      </w:r>
      <w:r w:rsidRPr="00D44E29">
        <w:t xml:space="preserve">. </w:t>
      </w:r>
      <w:r w:rsidR="00896718">
        <w:t xml:space="preserve">Так что нынешний сезонный спад активности вполне можно назвать «нормальным». </w:t>
      </w:r>
      <w:proofErr w:type="gramStart"/>
      <w:r w:rsidRPr="00D44E29">
        <w:t xml:space="preserve">За год (с </w:t>
      </w:r>
      <w:r w:rsidR="00896718">
        <w:t>января 2014</w:t>
      </w:r>
      <w:r w:rsidRPr="00D44E29">
        <w:t xml:space="preserve">-го) рост </w:t>
      </w:r>
      <w:r w:rsidR="00896718">
        <w:t xml:space="preserve">повседневных расходов в этих городах </w:t>
      </w:r>
      <w:r w:rsidRPr="00D44E29">
        <w:t xml:space="preserve">составил </w:t>
      </w:r>
      <w:r w:rsidR="00896718">
        <w:t>впечатляющие 31%</w:t>
      </w:r>
      <w:r w:rsidRPr="00D44E29">
        <w:t xml:space="preserve">. </w:t>
      </w:r>
      <w:r w:rsidR="00896718">
        <w:t>Что более чем в два раза покрывает потребительскую инфляцию.</w:t>
      </w:r>
      <w:proofErr w:type="gramEnd"/>
      <w:r w:rsidR="00896718">
        <w:t xml:space="preserve"> </w:t>
      </w:r>
      <w:r w:rsidRPr="00D44E29">
        <w:t xml:space="preserve">В реальном выражении можно говорить о  росте потребительских расходов на </w:t>
      </w:r>
      <w:r w:rsidR="00896718">
        <w:t>1</w:t>
      </w:r>
      <w:r w:rsidRPr="00D44E29">
        <w:t xml:space="preserve">5% за год. </w:t>
      </w:r>
      <w:r w:rsidR="00896718">
        <w:t>В четвертом квартале показатели роста реальных повседневных расходов в этих городах были на уровне 5%.</w:t>
      </w:r>
      <w:r w:rsidRPr="00D44E29">
        <w:t xml:space="preserve"> За три года (с </w:t>
      </w:r>
      <w:r w:rsidR="003B53B0">
        <w:t>января 2012</w:t>
      </w:r>
      <w:r w:rsidRPr="00D44E29">
        <w:t>-го) номинальный рост расходов в гор</w:t>
      </w:r>
      <w:r w:rsidR="003B53B0">
        <w:t>одах этого размера превысил 70</w:t>
      </w:r>
      <w:r w:rsidRPr="00D44E29">
        <w:t xml:space="preserve">%, </w:t>
      </w:r>
      <w:r w:rsidR="003B53B0">
        <w:t>а реальный (с поправкой на</w:t>
      </w:r>
      <w:r w:rsidRPr="00D44E29">
        <w:t xml:space="preserve"> инфляци</w:t>
      </w:r>
      <w:r w:rsidR="003B53B0">
        <w:t>ю</w:t>
      </w:r>
      <w:r w:rsidRPr="00D44E29">
        <w:t xml:space="preserve"> потребительского рынка</w:t>
      </w:r>
      <w:r w:rsidR="003B53B0">
        <w:t>) – 30%.</w:t>
      </w:r>
    </w:p>
    <w:p w:rsidR="00D44E29" w:rsidRDefault="00D44E29" w:rsidP="00D44E29">
      <w:pPr>
        <w:rPr>
          <w:b/>
          <w:u w:val="single"/>
        </w:rPr>
      </w:pPr>
    </w:p>
    <w:p w:rsidR="003B53B0" w:rsidRPr="00D44E29" w:rsidRDefault="003B53B0" w:rsidP="003B53B0">
      <w:pPr>
        <w:rPr>
          <w:b/>
        </w:rPr>
      </w:pPr>
      <w:r>
        <w:rPr>
          <w:b/>
        </w:rPr>
        <w:t>Диаграмма 2</w:t>
      </w:r>
      <w:r w:rsidRPr="00D44E29">
        <w:rPr>
          <w:b/>
        </w:rPr>
        <w:t xml:space="preserve">. Номинальные и реальные темпы роста повседневных расходов в </w:t>
      </w:r>
      <w:r>
        <w:rPr>
          <w:b/>
        </w:rPr>
        <w:t>январе 2015-го</w:t>
      </w:r>
      <w:r>
        <w:rPr>
          <w:b/>
        </w:rPr>
        <w:t xml:space="preserve"> в различных городах</w:t>
      </w:r>
      <w:r w:rsidRPr="00D44E29">
        <w:rPr>
          <w:b/>
        </w:rPr>
        <w:t xml:space="preserve">. </w:t>
      </w:r>
      <w:proofErr w:type="gramStart"/>
      <w:r w:rsidRPr="00D44E29">
        <w:rPr>
          <w:b/>
        </w:rPr>
        <w:t>В</w:t>
      </w:r>
      <w:proofErr w:type="gramEnd"/>
      <w:r w:rsidRPr="00D44E29">
        <w:rPr>
          <w:b/>
        </w:rPr>
        <w:t xml:space="preserve"> % к </w:t>
      </w:r>
      <w:r>
        <w:rPr>
          <w:b/>
        </w:rPr>
        <w:t>январю 2014-го года</w:t>
      </w:r>
      <w:r w:rsidRPr="00D44E29">
        <w:rPr>
          <w:b/>
        </w:rPr>
        <w:t>.</w:t>
      </w:r>
    </w:p>
    <w:p w:rsidR="003B53B0" w:rsidRPr="00D44E29" w:rsidRDefault="003B53B0" w:rsidP="003B53B0">
      <w:r w:rsidRPr="00D44E29">
        <w:rPr>
          <w:noProof/>
          <w:lang w:eastAsia="ru-RU"/>
        </w:rPr>
        <w:drawing>
          <wp:inline distT="0" distB="0" distL="0" distR="0" wp14:anchorId="3158F181" wp14:editId="3C359CD5">
            <wp:extent cx="5486400" cy="2781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53B0" w:rsidRDefault="003B53B0" w:rsidP="003B53B0">
      <w:pPr>
        <w:rPr>
          <w:b/>
          <w:u w:val="single"/>
        </w:rPr>
      </w:pPr>
      <w:r w:rsidRPr="00D44E29">
        <w:rPr>
          <w:b/>
        </w:rPr>
        <w:t xml:space="preserve">Источник - </w:t>
      </w:r>
      <w:proofErr w:type="spellStart"/>
      <w:r w:rsidRPr="00D44E29">
        <w:rPr>
          <w:b/>
        </w:rPr>
        <w:t>Ромир</w:t>
      </w:r>
      <w:proofErr w:type="spellEnd"/>
    </w:p>
    <w:p w:rsidR="003B53B0" w:rsidRDefault="003B53B0" w:rsidP="00D44E29">
      <w:pPr>
        <w:rPr>
          <w:b/>
          <w:u w:val="single"/>
        </w:rPr>
      </w:pPr>
    </w:p>
    <w:p w:rsidR="003B53B0" w:rsidRDefault="003B53B0" w:rsidP="00D44E29">
      <w:pPr>
        <w:rPr>
          <w:b/>
          <w:u w:val="single"/>
        </w:rPr>
      </w:pPr>
    </w:p>
    <w:p w:rsidR="00D44E29" w:rsidRPr="00D44E29" w:rsidRDefault="00D44E29" w:rsidP="00D44E29">
      <w:pPr>
        <w:rPr>
          <w:b/>
          <w:u w:val="single"/>
        </w:rPr>
      </w:pPr>
      <w:r w:rsidRPr="00D44E29">
        <w:rPr>
          <w:b/>
          <w:u w:val="single"/>
        </w:rPr>
        <w:lastRenderedPageBreak/>
        <w:t>Доходные группы</w:t>
      </w:r>
    </w:p>
    <w:p w:rsidR="000E3AB2" w:rsidRDefault="000E3AB2" w:rsidP="00D44E29"/>
    <w:p w:rsidR="000E3AB2" w:rsidRDefault="00D44E29" w:rsidP="00D44E29">
      <w:r w:rsidRPr="00D44E29">
        <w:t xml:space="preserve">Потребители с доходами ниже среднего уровня в </w:t>
      </w:r>
      <w:r w:rsidR="000E3AB2">
        <w:t xml:space="preserve">январе 2015-го года снизили повседневные расходы по сравнению с </w:t>
      </w:r>
      <w:r w:rsidRPr="00D44E29">
        <w:t>декабре</w:t>
      </w:r>
      <w:r w:rsidR="000E3AB2">
        <w:t>м</w:t>
      </w:r>
      <w:r w:rsidRPr="00D44E29">
        <w:t xml:space="preserve"> 2014-го на 1</w:t>
      </w:r>
      <w:r w:rsidR="000E3AB2">
        <w:t>9</w:t>
      </w:r>
      <w:r w:rsidRPr="00D44E29">
        <w:t>%</w:t>
      </w:r>
      <w:r w:rsidR="000E3AB2">
        <w:t>. Год назад сезонное снижение расходов в этой потребительской группе составило 24%.</w:t>
      </w:r>
      <w:r w:rsidRPr="00D44E29">
        <w:t xml:space="preserve"> </w:t>
      </w:r>
      <w:r w:rsidR="000E3AB2">
        <w:t>Два года назад – 21%. А вот три года назад – только 7%.</w:t>
      </w:r>
    </w:p>
    <w:p w:rsidR="007D533A" w:rsidRDefault="00D44E29" w:rsidP="00D44E29">
      <w:r w:rsidRPr="00D44E29">
        <w:t xml:space="preserve">По сравнению с </w:t>
      </w:r>
      <w:r w:rsidR="000E3AB2">
        <w:t>январем 2014-го</w:t>
      </w:r>
      <w:r w:rsidRPr="00D44E29">
        <w:t xml:space="preserve"> расходы у </w:t>
      </w:r>
      <w:r w:rsidR="000E3AB2">
        <w:t>этих потребителей возросли на 17,5</w:t>
      </w:r>
      <w:r w:rsidRPr="00D44E29">
        <w:t>%. Это</w:t>
      </w:r>
      <w:r w:rsidR="000E3AB2">
        <w:t xml:space="preserve"> немного выше</w:t>
      </w:r>
      <w:r w:rsidRPr="00D44E29">
        <w:t xml:space="preserve"> инфляции потребительского рынка. С поправкой на инфляцию реальное повседневное потребление у этой потребительской группы </w:t>
      </w:r>
      <w:r w:rsidR="007D533A">
        <w:t>выросло на3</w:t>
      </w:r>
      <w:r w:rsidRPr="00D44E29">
        <w:t xml:space="preserve">% за год. </w:t>
      </w:r>
    </w:p>
    <w:p w:rsidR="00D44E29" w:rsidRPr="00D44E29" w:rsidRDefault="00D44E29" w:rsidP="00D44E29">
      <w:r w:rsidRPr="00D44E29">
        <w:t xml:space="preserve">За три года (с </w:t>
      </w:r>
      <w:r w:rsidR="007D533A">
        <w:t>января 2012</w:t>
      </w:r>
      <w:r w:rsidRPr="00D44E29">
        <w:t xml:space="preserve">-го) повседневные расходы этой группы потребителей в номинальном выражении выросли </w:t>
      </w:r>
      <w:r w:rsidR="007D533A">
        <w:t>только на 15</w:t>
      </w:r>
      <w:r w:rsidRPr="00D44E29">
        <w:t xml:space="preserve">%, что </w:t>
      </w:r>
      <w:r w:rsidR="007D533A">
        <w:t>уступает показателю</w:t>
      </w:r>
      <w:r w:rsidRPr="00D44E29">
        <w:t xml:space="preserve"> потребительск</w:t>
      </w:r>
      <w:r w:rsidR="007D533A">
        <w:t>ой инфляции</w:t>
      </w:r>
      <w:r w:rsidRPr="00D44E29">
        <w:t>, накопленн</w:t>
      </w:r>
      <w:r w:rsidR="007D533A">
        <w:t>ой</w:t>
      </w:r>
      <w:r w:rsidRPr="00D44E29">
        <w:t xml:space="preserve"> за этот период </w:t>
      </w:r>
      <w:r w:rsidR="007D533A">
        <w:t>почти в два раза</w:t>
      </w:r>
      <w:r w:rsidRPr="00D44E29">
        <w:t xml:space="preserve">. </w:t>
      </w:r>
      <w:r w:rsidR="007D533A">
        <w:t>Это означает, что</w:t>
      </w:r>
      <w:r w:rsidRPr="00D44E29">
        <w:t xml:space="preserve"> реальн</w:t>
      </w:r>
      <w:r w:rsidR="007D533A">
        <w:t>ые повседневные</w:t>
      </w:r>
      <w:r w:rsidRPr="00D44E29">
        <w:t xml:space="preserve"> расход</w:t>
      </w:r>
      <w:r w:rsidR="007D533A">
        <w:t>ы за три года снизились примерно на 10%</w:t>
      </w:r>
      <w:r w:rsidRPr="00D44E29">
        <w:t>.</w:t>
      </w:r>
      <w:r w:rsidR="007D533A">
        <w:t xml:space="preserve"> За пять лет (с января 2010-го) рост номинальных расходов в этой группе составил 48%. Как раз на уровне потребительской инфляции за пятилетку по оценке Росстата. Можно сказать, что повседневное потребление у граждан с доходами ниже среднего уровня в январе 2015-го вернулось на уровень пятилетней давности.</w:t>
      </w:r>
    </w:p>
    <w:p w:rsidR="000E3AB2" w:rsidRPr="00D44E29" w:rsidRDefault="000E3AB2" w:rsidP="000E3AB2">
      <w:pPr>
        <w:rPr>
          <w:b/>
        </w:rPr>
      </w:pPr>
      <w:r>
        <w:rPr>
          <w:b/>
        </w:rPr>
        <w:t>Диаграмма 3</w:t>
      </w:r>
      <w:r w:rsidRPr="00D44E29">
        <w:rPr>
          <w:b/>
        </w:rPr>
        <w:t xml:space="preserve">. Номинальные и реальные темпы роста повседневных расходов в </w:t>
      </w:r>
      <w:r>
        <w:rPr>
          <w:b/>
        </w:rPr>
        <w:t xml:space="preserve">январе 2015-го </w:t>
      </w:r>
      <w:r>
        <w:rPr>
          <w:b/>
        </w:rPr>
        <w:t>по различным группам потребителей</w:t>
      </w:r>
      <w:r w:rsidRPr="00D44E29">
        <w:rPr>
          <w:b/>
        </w:rPr>
        <w:t xml:space="preserve">. </w:t>
      </w:r>
      <w:proofErr w:type="gramStart"/>
      <w:r w:rsidRPr="00D44E29">
        <w:rPr>
          <w:b/>
        </w:rPr>
        <w:t>В</w:t>
      </w:r>
      <w:proofErr w:type="gramEnd"/>
      <w:r w:rsidRPr="00D44E29">
        <w:rPr>
          <w:b/>
        </w:rPr>
        <w:t xml:space="preserve"> % к </w:t>
      </w:r>
      <w:r>
        <w:rPr>
          <w:b/>
        </w:rPr>
        <w:t>январю 2014-го года</w:t>
      </w:r>
      <w:r w:rsidRPr="00D44E29">
        <w:rPr>
          <w:b/>
        </w:rPr>
        <w:t>.</w:t>
      </w:r>
    </w:p>
    <w:p w:rsidR="000E3AB2" w:rsidRPr="00D44E29" w:rsidRDefault="000E3AB2" w:rsidP="000E3AB2">
      <w:r w:rsidRPr="00D44E29">
        <w:rPr>
          <w:noProof/>
          <w:lang w:eastAsia="ru-RU"/>
        </w:rPr>
        <w:drawing>
          <wp:inline distT="0" distB="0" distL="0" distR="0" wp14:anchorId="69A972CB" wp14:editId="24A5C923">
            <wp:extent cx="5486400" cy="2453640"/>
            <wp:effectExtent l="0" t="0" r="1905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3AB2" w:rsidRDefault="000E3AB2" w:rsidP="000E3AB2">
      <w:pPr>
        <w:rPr>
          <w:b/>
          <w:u w:val="single"/>
        </w:rPr>
      </w:pPr>
      <w:r w:rsidRPr="00D44E29">
        <w:rPr>
          <w:b/>
        </w:rPr>
        <w:t xml:space="preserve">Источник - </w:t>
      </w:r>
      <w:proofErr w:type="spellStart"/>
      <w:r w:rsidRPr="00D44E29">
        <w:rPr>
          <w:b/>
        </w:rPr>
        <w:t>Ромир</w:t>
      </w:r>
      <w:proofErr w:type="spellEnd"/>
    </w:p>
    <w:p w:rsidR="000E3AB2" w:rsidRDefault="000E3AB2" w:rsidP="00D44E29"/>
    <w:p w:rsidR="00ED19EB" w:rsidRDefault="000E3AB2" w:rsidP="000E3AB2">
      <w:r w:rsidRPr="00D44E29">
        <w:t xml:space="preserve">У группы семей со средним уровнем доходов повседневные расходы в </w:t>
      </w:r>
      <w:r w:rsidR="007D533A">
        <w:t xml:space="preserve">январе 2015-го снизились по сравнению с </w:t>
      </w:r>
      <w:r w:rsidRPr="00D44E29">
        <w:t>декабре</w:t>
      </w:r>
      <w:r w:rsidR="007D533A">
        <w:t>м</w:t>
      </w:r>
      <w:r w:rsidRPr="00D44E29">
        <w:t xml:space="preserve"> 2014-го </w:t>
      </w:r>
      <w:r w:rsidR="007D533A">
        <w:t>на 20</w:t>
      </w:r>
      <w:r w:rsidRPr="00D44E29">
        <w:t>%</w:t>
      </w:r>
      <w:r w:rsidR="007D533A">
        <w:t xml:space="preserve">. Точно таким же было сезонное снижение и год, и два года назад. С одной небольшой поправкой – такое крутое </w:t>
      </w:r>
      <w:r w:rsidR="00ED19EB">
        <w:t>«</w:t>
      </w:r>
      <w:r w:rsidR="007D533A">
        <w:t>н</w:t>
      </w:r>
      <w:r w:rsidR="00ED19EB">
        <w:t>о</w:t>
      </w:r>
      <w:r w:rsidRPr="00D44E29">
        <w:t xml:space="preserve">вогоднее ралли» </w:t>
      </w:r>
      <w:r w:rsidR="00ED19EB">
        <w:t>(резкий рост повседневных расходов) у</w:t>
      </w:r>
      <w:r w:rsidRPr="00D44E29">
        <w:t xml:space="preserve"> среднего класса </w:t>
      </w:r>
      <w:r w:rsidR="00ED19EB">
        <w:t xml:space="preserve">которое </w:t>
      </w:r>
      <w:r w:rsidRPr="00D44E29">
        <w:t>наблюдалось</w:t>
      </w:r>
      <w:r w:rsidR="00ED19EB">
        <w:t xml:space="preserve"> в декабре 2014-го, последний раз случалось</w:t>
      </w:r>
      <w:r w:rsidRPr="00D44E29">
        <w:t xml:space="preserve"> лишь в декабре 2008-го года. </w:t>
      </w:r>
    </w:p>
    <w:p w:rsidR="00ED19EB" w:rsidRDefault="000E3AB2" w:rsidP="000E3AB2">
      <w:r w:rsidRPr="00D44E29">
        <w:t xml:space="preserve">За год (по сравнению с </w:t>
      </w:r>
      <w:r w:rsidR="00ED19EB">
        <w:t>январем 2014</w:t>
      </w:r>
      <w:r w:rsidRPr="00D44E29">
        <w:t xml:space="preserve">-го) повседневные расходы у этой группы потребителей выросли на </w:t>
      </w:r>
      <w:r w:rsidR="00ED19EB">
        <w:t>20</w:t>
      </w:r>
      <w:r w:rsidRPr="00D44E29">
        <w:t>%, обогнав инфляцию потребительского рынка в 1,5 раза</w:t>
      </w:r>
      <w:r w:rsidR="00ED19EB">
        <w:t xml:space="preserve"> (как и в прошедшем декабре)</w:t>
      </w:r>
      <w:r w:rsidRPr="00D44E29">
        <w:t xml:space="preserve">. </w:t>
      </w:r>
      <w:r w:rsidR="00ED19EB" w:rsidRPr="00D44E29">
        <w:t xml:space="preserve">С поправкой на инфляцию реальное повседневное потребление у этой потребительской группы </w:t>
      </w:r>
      <w:r w:rsidR="00ED19EB">
        <w:t>выросло на</w:t>
      </w:r>
      <w:r w:rsidR="00ED19EB">
        <w:t xml:space="preserve"> 5</w:t>
      </w:r>
      <w:r w:rsidR="00ED19EB" w:rsidRPr="00D44E29">
        <w:t>% за год.</w:t>
      </w:r>
    </w:p>
    <w:p w:rsidR="00ED19EB" w:rsidRDefault="000E3AB2" w:rsidP="000E3AB2">
      <w:r w:rsidRPr="00D44E29">
        <w:lastRenderedPageBreak/>
        <w:t xml:space="preserve">За </w:t>
      </w:r>
      <w:r w:rsidR="00ED19EB">
        <w:t>три</w:t>
      </w:r>
      <w:r w:rsidRPr="00D44E29">
        <w:t xml:space="preserve"> года (с </w:t>
      </w:r>
      <w:r w:rsidR="00ED19EB">
        <w:t>января</w:t>
      </w:r>
      <w:r w:rsidRPr="00D44E29">
        <w:t xml:space="preserve"> 2012-го) номинальный рост расходов в этой группе составил только 1</w:t>
      </w:r>
      <w:r w:rsidR="00ED19EB">
        <w:t>8</w:t>
      </w:r>
      <w:r w:rsidRPr="00D44E29">
        <w:t xml:space="preserve">%, что ниже инфляции потребительского рынка почти в два раза. </w:t>
      </w:r>
      <w:r w:rsidR="00ED19EB">
        <w:t>На этом временном интервале можно говорить о снижении реального повседневного потребления на 7,5%.</w:t>
      </w:r>
    </w:p>
    <w:p w:rsidR="000E3AB2" w:rsidRPr="00D44E29" w:rsidRDefault="000E3AB2" w:rsidP="000E3AB2">
      <w:r w:rsidRPr="00D44E29">
        <w:t xml:space="preserve">За </w:t>
      </w:r>
      <w:r w:rsidR="00ED19EB">
        <w:t>пять лет</w:t>
      </w:r>
      <w:r w:rsidRPr="00D44E29">
        <w:t xml:space="preserve"> (с </w:t>
      </w:r>
      <w:r w:rsidR="00884C92">
        <w:t>января 2010</w:t>
      </w:r>
      <w:r w:rsidRPr="00D44E29">
        <w:t xml:space="preserve">-го) повседневные расходы </w:t>
      </w:r>
      <w:r w:rsidR="00ED19EB">
        <w:t xml:space="preserve">«среднего </w:t>
      </w:r>
      <w:proofErr w:type="spellStart"/>
      <w:r w:rsidR="00ED19EB">
        <w:t>класса»</w:t>
      </w:r>
      <w:proofErr w:type="spellEnd"/>
      <w:r w:rsidRPr="00D44E29">
        <w:t xml:space="preserve"> в номинальном выражении выросли на </w:t>
      </w:r>
      <w:r w:rsidR="00884C92">
        <w:t>51</w:t>
      </w:r>
      <w:r w:rsidRPr="00D44E29">
        <w:t xml:space="preserve">,5%, что превышает потребительскую инфляцию, накопленную за этот период </w:t>
      </w:r>
      <w:r w:rsidR="00884C92">
        <w:t xml:space="preserve">всего лишь </w:t>
      </w:r>
      <w:r w:rsidRPr="00D44E29">
        <w:t xml:space="preserve">на </w:t>
      </w:r>
      <w:r w:rsidR="00884C92">
        <w:t>3</w:t>
      </w:r>
      <w:r w:rsidRPr="00D44E29">
        <w:t xml:space="preserve"> </w:t>
      </w:r>
      <w:r w:rsidR="00884C92">
        <w:t>– 4</w:t>
      </w:r>
      <w:r w:rsidRPr="00D44E29">
        <w:t xml:space="preserve"> пункт</w:t>
      </w:r>
      <w:r w:rsidR="00884C92">
        <w:t>а</w:t>
      </w:r>
      <w:r w:rsidRPr="00D44E29">
        <w:t xml:space="preserve">. Рост реальных расходов по сравнению с </w:t>
      </w:r>
      <w:r w:rsidR="00884C92">
        <w:t>январем 2010</w:t>
      </w:r>
      <w:r w:rsidRPr="00D44E29">
        <w:t xml:space="preserve">-го </w:t>
      </w:r>
      <w:r w:rsidR="00884C92">
        <w:t>можно оценить в пределах 2,5%</w:t>
      </w:r>
      <w:r w:rsidRPr="00D44E29">
        <w:t>.</w:t>
      </w:r>
    </w:p>
    <w:p w:rsidR="00ED6FE5" w:rsidRDefault="000E3AB2" w:rsidP="000E3AB2">
      <w:r w:rsidRPr="00D44E29">
        <w:t xml:space="preserve">У потребителей с доходами выше среднего уровня, повседневные расходы в </w:t>
      </w:r>
      <w:r w:rsidR="00ED6FE5">
        <w:t>январе 2015-го снизились по сравнению со значениями декабря на 23,5%. В прошлом и позапрошлом годах оно составляло 22% и 18%, соответственно. Но были годы и с более сильным снижением повседневных расходов у обеспеченных потребителей. Например – 2009-й, когда оно составило 27%</w:t>
      </w:r>
      <w:r w:rsidRPr="00D44E29">
        <w:t xml:space="preserve">. </w:t>
      </w:r>
    </w:p>
    <w:p w:rsidR="00ED6FE5" w:rsidRDefault="000E3AB2" w:rsidP="000E3AB2">
      <w:r w:rsidRPr="00D44E29">
        <w:t xml:space="preserve">За год повседневные расходы обеспеченных потребителей выросли </w:t>
      </w:r>
      <w:r w:rsidR="00ED6FE5">
        <w:t xml:space="preserve">только </w:t>
      </w:r>
      <w:r w:rsidRPr="00D44E29">
        <w:t>на 1</w:t>
      </w:r>
      <w:r w:rsidR="00ED6FE5">
        <w:t>1</w:t>
      </w:r>
      <w:r w:rsidRPr="00D44E29">
        <w:t>%</w:t>
      </w:r>
      <w:r w:rsidR="00ED6FE5">
        <w:t>, уступив потребительской инфляции три процентных пункта.</w:t>
      </w:r>
      <w:r w:rsidRPr="00D44E29">
        <w:t xml:space="preserve"> В реальном выражении </w:t>
      </w:r>
      <w:r w:rsidR="00ED6FE5">
        <w:t>потребление в этой группе сократилось на 2,5%.</w:t>
      </w:r>
    </w:p>
    <w:p w:rsidR="000E3AB2" w:rsidRDefault="000E3AB2" w:rsidP="000E3AB2">
      <w:r w:rsidRPr="00D44E29">
        <w:t xml:space="preserve">За три года (с </w:t>
      </w:r>
      <w:r w:rsidR="00ED6FE5">
        <w:t>января</w:t>
      </w:r>
      <w:r w:rsidRPr="00D44E29">
        <w:t xml:space="preserve"> 201</w:t>
      </w:r>
      <w:r w:rsidR="00ED6FE5">
        <w:t>2</w:t>
      </w:r>
      <w:r w:rsidRPr="00D44E29">
        <w:t>-го) повседневные расходы этой группы потребителей в номинальном выражении выросли</w:t>
      </w:r>
      <w:r w:rsidR="00ED6FE5">
        <w:t xml:space="preserve"> только</w:t>
      </w:r>
      <w:r w:rsidRPr="00D44E29">
        <w:t xml:space="preserve"> на </w:t>
      </w:r>
      <w:r w:rsidR="00ED6FE5">
        <w:t>12</w:t>
      </w:r>
      <w:r w:rsidRPr="00D44E29">
        <w:t xml:space="preserve">%, </w:t>
      </w:r>
      <w:r w:rsidR="00ED6FE5">
        <w:t>уступив</w:t>
      </w:r>
      <w:r w:rsidR="003E1A27">
        <w:t xml:space="preserve"> инфляции более чем в два раза. Снижение</w:t>
      </w:r>
      <w:r w:rsidRPr="00D44E29">
        <w:t xml:space="preserve"> реальных расходов по сравнению с </w:t>
      </w:r>
      <w:r w:rsidR="003E1A27">
        <w:t>январем</w:t>
      </w:r>
      <w:r w:rsidRPr="00D44E29">
        <w:t xml:space="preserve"> 201</w:t>
      </w:r>
      <w:r w:rsidR="003E1A27">
        <w:t>2</w:t>
      </w:r>
      <w:r w:rsidRPr="00D44E29">
        <w:t xml:space="preserve">-го </w:t>
      </w:r>
      <w:r w:rsidR="003E1A27">
        <w:t>составило около 13</w:t>
      </w:r>
      <w:r w:rsidRPr="00D44E29">
        <w:t>%.</w:t>
      </w:r>
    </w:p>
    <w:p w:rsidR="003E1A27" w:rsidRPr="00D44E29" w:rsidRDefault="003E1A27" w:rsidP="000E3AB2">
      <w:r>
        <w:t>За пять лет (с января 2010-го) повседневные расходы обеспеченных потребителей выросли на 57%, обогнав инфляцию потребительского рынка на девять пунктов. Рост потребления в реальном выражении за пять лет составил в данной группе 6%.</w:t>
      </w:r>
    </w:p>
    <w:p w:rsidR="000E3AB2" w:rsidRDefault="000E3AB2" w:rsidP="00D44E29"/>
    <w:p w:rsidR="000E3AB2" w:rsidRDefault="000E3AB2" w:rsidP="00D44E29"/>
    <w:p w:rsidR="00D44E29" w:rsidRPr="00D44E29" w:rsidRDefault="00D44E29" w:rsidP="00D44E29">
      <w:pPr>
        <w:rPr>
          <w:b/>
        </w:rPr>
      </w:pPr>
      <w:r w:rsidRPr="00D44E29">
        <w:t>С</w:t>
      </w:r>
      <w:r w:rsidRPr="00D44E29">
        <w:rPr>
          <w:b/>
        </w:rPr>
        <w:t xml:space="preserve">ПРАВКА: </w:t>
      </w:r>
    </w:p>
    <w:p w:rsidR="00D44E29" w:rsidRPr="00D44E29" w:rsidRDefault="00D44E29" w:rsidP="00D44E29">
      <w:r w:rsidRPr="00D44E29">
        <w:t xml:space="preserve">Исследовательский холдинг </w:t>
      </w:r>
      <w:proofErr w:type="spellStart"/>
      <w:r w:rsidRPr="00D44E29">
        <w:t>Ромир</w:t>
      </w:r>
      <w:proofErr w:type="spellEnd"/>
      <w:r w:rsidRPr="00D44E29">
        <w:t xml:space="preserve"> разработал новый инструмент измерения потребительской активности – </w:t>
      </w:r>
      <w:r w:rsidRPr="00D44E29">
        <w:rPr>
          <w:i/>
        </w:rPr>
        <w:t>«</w:t>
      </w:r>
      <w:proofErr w:type="spellStart"/>
      <w:r w:rsidRPr="00D44E29">
        <w:rPr>
          <w:i/>
        </w:rPr>
        <w:t>Ромир</w:t>
      </w:r>
      <w:proofErr w:type="spellEnd"/>
      <w:r w:rsidRPr="00D44E29">
        <w:rPr>
          <w:i/>
        </w:rPr>
        <w:t xml:space="preserve"> - индексы покупательской активности»</w:t>
      </w:r>
      <w:r w:rsidRPr="00D44E29">
        <w:t>, рассчитываемые на основе панели из 3600 домохозяйств, оснащенных сканерами штрих кодов.</w:t>
      </w:r>
    </w:p>
    <w:p w:rsidR="00D44E29" w:rsidRPr="00D44E29" w:rsidRDefault="00D44E29" w:rsidP="00D44E29">
      <w:r w:rsidRPr="00D44E29">
        <w:rPr>
          <w:i/>
        </w:rPr>
        <w:t>«</w:t>
      </w:r>
      <w:proofErr w:type="spellStart"/>
      <w:r w:rsidRPr="00D44E29">
        <w:rPr>
          <w:i/>
        </w:rPr>
        <w:t>Ромир</w:t>
      </w:r>
      <w:proofErr w:type="spellEnd"/>
      <w:r w:rsidRPr="00D44E29">
        <w:rPr>
          <w:i/>
        </w:rPr>
        <w:t xml:space="preserve"> - индексы покупательской активности»</w:t>
      </w:r>
      <w:r w:rsidRPr="00D44E29">
        <w:t xml:space="preserve"> отражают динамику потребления товаров повседневного спроса и цен на них, качественный и количественный состав потребительской корзины, изменения в предпочтениях в отношении мест покупок жителей российских городов.</w:t>
      </w:r>
    </w:p>
    <w:p w:rsidR="00F23728" w:rsidRDefault="00D44E29">
      <w:r w:rsidRPr="00D44E29">
        <w:t xml:space="preserve">Базой для расчета индексов являются ежедневно обновляемые, верифицированные данные по покупкам более 100 категорий продовольственных и непродовольственных товаров в городах России с населением 100 000 жителей и более (технология сканирования штрих кодов).  </w:t>
      </w:r>
      <w:bookmarkStart w:id="0" w:name="_GoBack"/>
      <w:bookmarkEnd w:id="0"/>
    </w:p>
    <w:sectPr w:rsidR="00F2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2D"/>
    <w:rsid w:val="00074A47"/>
    <w:rsid w:val="000E3AB2"/>
    <w:rsid w:val="00164E5E"/>
    <w:rsid w:val="00171081"/>
    <w:rsid w:val="001C2F44"/>
    <w:rsid w:val="001C7C90"/>
    <w:rsid w:val="001D3C7C"/>
    <w:rsid w:val="002429E2"/>
    <w:rsid w:val="00253072"/>
    <w:rsid w:val="002A4821"/>
    <w:rsid w:val="003B53B0"/>
    <w:rsid w:val="003E1A27"/>
    <w:rsid w:val="0046748B"/>
    <w:rsid w:val="00475A8E"/>
    <w:rsid w:val="004841DB"/>
    <w:rsid w:val="00614EA8"/>
    <w:rsid w:val="006311FE"/>
    <w:rsid w:val="00714E2D"/>
    <w:rsid w:val="007C2155"/>
    <w:rsid w:val="007D533A"/>
    <w:rsid w:val="00834129"/>
    <w:rsid w:val="00884C92"/>
    <w:rsid w:val="00896718"/>
    <w:rsid w:val="008C3317"/>
    <w:rsid w:val="00906BA9"/>
    <w:rsid w:val="009F0078"/>
    <w:rsid w:val="00A47121"/>
    <w:rsid w:val="00A61B2D"/>
    <w:rsid w:val="00B2380E"/>
    <w:rsid w:val="00B2796A"/>
    <w:rsid w:val="00B316C9"/>
    <w:rsid w:val="00BF5238"/>
    <w:rsid w:val="00C922A9"/>
    <w:rsid w:val="00CF48E8"/>
    <w:rsid w:val="00D44E29"/>
    <w:rsid w:val="00DD21BE"/>
    <w:rsid w:val="00ED19EB"/>
    <w:rsid w:val="00ED5CDB"/>
    <w:rsid w:val="00ED6FE5"/>
    <w:rsid w:val="00EF659A"/>
    <w:rsid w:val="00F23728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Номинальные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янв.14</c:v>
                </c:pt>
                <c:pt idx="1">
                  <c:v>вев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</c:v>
                </c:pt>
                <c:pt idx="11">
                  <c:v>дек</c:v>
                </c:pt>
                <c:pt idx="12">
                  <c:v>янв.15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-3</c:v>
                </c:pt>
                <c:pt idx="1">
                  <c:v>-1</c:v>
                </c:pt>
                <c:pt idx="2">
                  <c:v>0</c:v>
                </c:pt>
                <c:pt idx="3">
                  <c:v>-4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8</c:v>
                </c:pt>
                <c:pt idx="8">
                  <c:v>-2</c:v>
                </c:pt>
                <c:pt idx="9">
                  <c:v>8</c:v>
                </c:pt>
                <c:pt idx="10">
                  <c:v>12</c:v>
                </c:pt>
                <c:pt idx="11">
                  <c:v>15</c:v>
                </c:pt>
                <c:pt idx="1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Реальные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янв.14</c:v>
                </c:pt>
                <c:pt idx="1">
                  <c:v>вев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</c:v>
                </c:pt>
                <c:pt idx="11">
                  <c:v>дек</c:v>
                </c:pt>
                <c:pt idx="12">
                  <c:v>янв.15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-9</c:v>
                </c:pt>
                <c:pt idx="1">
                  <c:v>-7</c:v>
                </c:pt>
                <c:pt idx="2">
                  <c:v>-7</c:v>
                </c:pt>
                <c:pt idx="3">
                  <c:v>-11</c:v>
                </c:pt>
                <c:pt idx="4">
                  <c:v>-1</c:v>
                </c:pt>
                <c:pt idx="5">
                  <c:v>-3</c:v>
                </c:pt>
                <c:pt idx="6">
                  <c:v>-3</c:v>
                </c:pt>
                <c:pt idx="7">
                  <c:v>1</c:v>
                </c:pt>
                <c:pt idx="8">
                  <c:v>-10</c:v>
                </c:pt>
                <c:pt idx="9">
                  <c:v>-1</c:v>
                </c:pt>
                <c:pt idx="10">
                  <c:v>2.5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868160"/>
        <c:axId val="65869696"/>
      </c:barChart>
      <c:catAx>
        <c:axId val="6586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65869696"/>
        <c:crosses val="autoZero"/>
        <c:auto val="1"/>
        <c:lblAlgn val="ctr"/>
        <c:lblOffset val="100"/>
        <c:noMultiLvlLbl val="0"/>
      </c:catAx>
      <c:valAx>
        <c:axId val="6586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86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Номинальные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Моква</c:v>
                </c:pt>
                <c:pt idx="1">
                  <c:v>Петербург</c:v>
                </c:pt>
                <c:pt idx="2">
                  <c:v>миллионники</c:v>
                </c:pt>
                <c:pt idx="3">
                  <c:v>500 - 800</c:v>
                </c:pt>
                <c:pt idx="4">
                  <c:v>100 - 450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2.75</c:v>
                </c:pt>
                <c:pt idx="2">
                  <c:v>5.75</c:v>
                </c:pt>
                <c:pt idx="3">
                  <c:v>20</c:v>
                </c:pt>
                <c:pt idx="4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Реальные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Моква</c:v>
                </c:pt>
                <c:pt idx="1">
                  <c:v>Петербург</c:v>
                </c:pt>
                <c:pt idx="2">
                  <c:v>миллионники</c:v>
                </c:pt>
                <c:pt idx="3">
                  <c:v>500 - 800</c:v>
                </c:pt>
                <c:pt idx="4">
                  <c:v>100 - 450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7.5</c:v>
                </c:pt>
                <c:pt idx="1">
                  <c:v>-10</c:v>
                </c:pt>
                <c:pt idx="2">
                  <c:v>-7</c:v>
                </c:pt>
                <c:pt idx="3">
                  <c:v>6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86528"/>
        <c:axId val="65803008"/>
      </c:barChart>
      <c:catAx>
        <c:axId val="6568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65803008"/>
        <c:crosses val="autoZero"/>
        <c:auto val="1"/>
        <c:lblAlgn val="ctr"/>
        <c:lblOffset val="100"/>
        <c:noMultiLvlLbl val="0"/>
      </c:catAx>
      <c:valAx>
        <c:axId val="6580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68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Номинальные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Средний - </c:v>
                </c:pt>
                <c:pt idx="1">
                  <c:v>Средний</c:v>
                </c:pt>
                <c:pt idx="2">
                  <c:v>Средний +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17.5</c:v>
                </c:pt>
                <c:pt idx="1">
                  <c:v>20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Реальные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Средний - </c:v>
                </c:pt>
                <c:pt idx="1">
                  <c:v>Средний</c:v>
                </c:pt>
                <c:pt idx="2">
                  <c:v>Средний +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-2.5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90400"/>
        <c:axId val="83991936"/>
      </c:barChart>
      <c:catAx>
        <c:axId val="83990400"/>
        <c:scaling>
          <c:orientation val="minMax"/>
        </c:scaling>
        <c:delete val="0"/>
        <c:axPos val="b"/>
        <c:majorTickMark val="out"/>
        <c:minorTickMark val="none"/>
        <c:tickLblPos val="nextTo"/>
        <c:crossAx val="83991936"/>
        <c:crosses val="autoZero"/>
        <c:auto val="1"/>
        <c:lblAlgn val="ctr"/>
        <c:lblOffset val="100"/>
        <c:noMultiLvlLbl val="0"/>
      </c:catAx>
      <c:valAx>
        <c:axId val="8399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9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8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21</cp:revision>
  <dcterms:created xsi:type="dcterms:W3CDTF">2015-02-07T06:51:00Z</dcterms:created>
  <dcterms:modified xsi:type="dcterms:W3CDTF">2015-02-09T13:18:00Z</dcterms:modified>
</cp:coreProperties>
</file>