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A1" w:rsidRPr="00DC45A1" w:rsidRDefault="00DC45A1" w:rsidP="00DC45A1">
      <w:pPr>
        <w:rPr>
          <w:b/>
          <w:sz w:val="28"/>
          <w:szCs w:val="28"/>
        </w:rPr>
      </w:pPr>
      <w:r w:rsidRPr="00DC45A1">
        <w:rPr>
          <w:b/>
          <w:sz w:val="28"/>
          <w:szCs w:val="28"/>
        </w:rPr>
        <w:t>Август: Индекс Кофе-с-молоком ожидаемо вырос на санкциях</w:t>
      </w:r>
    </w:p>
    <w:p w:rsidR="00DC45A1" w:rsidRPr="00DC45A1" w:rsidRDefault="00DC45A1" w:rsidP="00DC45A1">
      <w:pPr>
        <w:rPr>
          <w:sz w:val="24"/>
          <w:szCs w:val="24"/>
        </w:rPr>
      </w:pPr>
      <w:r w:rsidRPr="00DC45A1">
        <w:rPr>
          <w:sz w:val="24"/>
          <w:szCs w:val="24"/>
        </w:rPr>
        <w:t>Игорь Березин</w:t>
      </w:r>
    </w:p>
    <w:p w:rsidR="00DC45A1" w:rsidRPr="00DC45A1" w:rsidRDefault="00DC45A1" w:rsidP="00DC45A1">
      <w:pPr>
        <w:rPr>
          <w:b/>
        </w:rPr>
      </w:pPr>
      <w:r w:rsidRPr="00DC45A1">
        <w:rPr>
          <w:b/>
        </w:rPr>
        <w:t xml:space="preserve">Ведущий эксперт исследовательского холдинга </w:t>
      </w:r>
      <w:r w:rsidRPr="00DC45A1">
        <w:rPr>
          <w:b/>
          <w:lang w:val="en-US"/>
        </w:rPr>
        <w:t>Romir</w:t>
      </w:r>
      <w:r>
        <w:rPr>
          <w:b/>
        </w:rPr>
        <w:t xml:space="preserve">, </w:t>
      </w:r>
      <w:r w:rsidRPr="00DC45A1">
        <w:rPr>
          <w:b/>
        </w:rPr>
        <w:t>Президент Гильдии Маркетологов</w:t>
      </w:r>
    </w:p>
    <w:p w:rsidR="00DC45A1" w:rsidRPr="00DC45A1" w:rsidRDefault="00DC45A1" w:rsidP="00DC45A1">
      <w:pPr>
        <w:rPr>
          <w:b/>
        </w:rPr>
      </w:pPr>
    </w:p>
    <w:p w:rsidR="00DC45A1" w:rsidRPr="00DC45A1" w:rsidRDefault="00DC45A1" w:rsidP="00DC45A1">
      <w:pPr>
        <w:rPr>
          <w:b/>
        </w:rPr>
      </w:pPr>
      <w:r w:rsidRPr="00DC45A1">
        <w:rPr>
          <w:b/>
        </w:rPr>
        <w:t xml:space="preserve">В </w:t>
      </w:r>
      <w:r w:rsidR="006B7BCA">
        <w:rPr>
          <w:b/>
        </w:rPr>
        <w:t>августе</w:t>
      </w:r>
      <w:r w:rsidRPr="00DC45A1">
        <w:rPr>
          <w:b/>
        </w:rPr>
        <w:t xml:space="preserve"> 2014-го года Индекс «Кофе-с-Молоком» (</w:t>
      </w:r>
      <w:proofErr w:type="spellStart"/>
      <w:r w:rsidRPr="00DC45A1">
        <w:rPr>
          <w:b/>
        </w:rPr>
        <w:t>КсМ</w:t>
      </w:r>
      <w:proofErr w:type="spellEnd"/>
      <w:r w:rsidRPr="00DC45A1">
        <w:rPr>
          <w:b/>
        </w:rPr>
        <w:t xml:space="preserve">, </w:t>
      </w:r>
      <w:proofErr w:type="spellStart"/>
      <w:r w:rsidRPr="00DC45A1">
        <w:rPr>
          <w:b/>
        </w:rPr>
        <w:t>Ромир</w:t>
      </w:r>
      <w:proofErr w:type="spellEnd"/>
      <w:r w:rsidRPr="00DC45A1">
        <w:rPr>
          <w:b/>
        </w:rPr>
        <w:t xml:space="preserve">) вырос на </w:t>
      </w:r>
      <w:r w:rsidR="006B7BCA">
        <w:rPr>
          <w:b/>
        </w:rPr>
        <w:t>5,2</w:t>
      </w:r>
      <w:r w:rsidRPr="00DC45A1">
        <w:rPr>
          <w:b/>
        </w:rPr>
        <w:t xml:space="preserve">% по сравнению с </w:t>
      </w:r>
      <w:r w:rsidR="006B7BCA">
        <w:rPr>
          <w:b/>
        </w:rPr>
        <w:t>июлем</w:t>
      </w:r>
      <w:r w:rsidRPr="00DC45A1">
        <w:rPr>
          <w:b/>
        </w:rPr>
        <w:t xml:space="preserve">. </w:t>
      </w:r>
      <w:r w:rsidR="006B7BCA">
        <w:rPr>
          <w:b/>
        </w:rPr>
        <w:t xml:space="preserve">Рост индекса в августе (к июлю) произошел впервые за весь период наблюдений, с 2007-го года. </w:t>
      </w:r>
      <w:r w:rsidRPr="00DC45A1">
        <w:rPr>
          <w:b/>
        </w:rPr>
        <w:t>Значение индекса составило 7</w:t>
      </w:r>
      <w:r w:rsidR="006B7BCA">
        <w:rPr>
          <w:b/>
        </w:rPr>
        <w:t>6</w:t>
      </w:r>
      <w:r w:rsidRPr="00DC45A1">
        <w:rPr>
          <w:b/>
        </w:rPr>
        <w:t xml:space="preserve">9 пунктов, что на </w:t>
      </w:r>
      <w:r w:rsidR="006B7BCA">
        <w:rPr>
          <w:b/>
        </w:rPr>
        <w:t>23</w:t>
      </w:r>
      <w:r w:rsidRPr="00DC45A1">
        <w:rPr>
          <w:b/>
        </w:rPr>
        <w:t xml:space="preserve">% больше значения </w:t>
      </w:r>
      <w:r w:rsidR="006B7BCA">
        <w:rPr>
          <w:b/>
        </w:rPr>
        <w:t>августа</w:t>
      </w:r>
      <w:r w:rsidRPr="00DC45A1">
        <w:rPr>
          <w:b/>
        </w:rPr>
        <w:t xml:space="preserve"> 2013-го. Столь заметный рост индекса К-с-М  в годовом выражении наблюдается </w:t>
      </w:r>
      <w:r w:rsidR="006B7BCA">
        <w:rPr>
          <w:b/>
        </w:rPr>
        <w:t>третий</w:t>
      </w:r>
      <w:r w:rsidRPr="00DC45A1">
        <w:rPr>
          <w:b/>
        </w:rPr>
        <w:t xml:space="preserve"> месяц подряд.  До этого (с ноября прошлого </w:t>
      </w:r>
      <w:r w:rsidR="006B7BCA">
        <w:rPr>
          <w:b/>
        </w:rPr>
        <w:t xml:space="preserve">по май текущего </w:t>
      </w:r>
      <w:r w:rsidRPr="00DC45A1">
        <w:rPr>
          <w:b/>
        </w:rPr>
        <w:t xml:space="preserve">года) годовой рост не превышал 3 – 5%, а в иные месяцы так и вовсе наблюдалось снижение показателя. </w:t>
      </w:r>
      <w:r w:rsidR="006B7BCA">
        <w:rPr>
          <w:b/>
        </w:rPr>
        <w:t>Однако, за три года</w:t>
      </w:r>
      <w:r w:rsidRPr="00DC45A1">
        <w:rPr>
          <w:b/>
        </w:rPr>
        <w:t xml:space="preserve"> (с </w:t>
      </w:r>
      <w:r w:rsidR="006B7BCA">
        <w:rPr>
          <w:b/>
        </w:rPr>
        <w:t>августа 2011-го</w:t>
      </w:r>
      <w:r w:rsidRPr="00DC45A1">
        <w:rPr>
          <w:b/>
        </w:rPr>
        <w:t xml:space="preserve">-го) Индекс К-с-М </w:t>
      </w:r>
      <w:proofErr w:type="spellStart"/>
      <w:r w:rsidRPr="00DC45A1">
        <w:rPr>
          <w:b/>
        </w:rPr>
        <w:t>Ромир</w:t>
      </w:r>
      <w:proofErr w:type="spellEnd"/>
      <w:r w:rsidRPr="00DC45A1">
        <w:rPr>
          <w:b/>
        </w:rPr>
        <w:t xml:space="preserve"> вырос </w:t>
      </w:r>
      <w:r w:rsidR="006B7BCA">
        <w:rPr>
          <w:b/>
        </w:rPr>
        <w:t>только на 2</w:t>
      </w:r>
      <w:r w:rsidRPr="00DC45A1">
        <w:rPr>
          <w:b/>
        </w:rPr>
        <w:t>2%</w:t>
      </w:r>
      <w:r w:rsidR="006B7BCA">
        <w:rPr>
          <w:b/>
        </w:rPr>
        <w:t xml:space="preserve"> (в среднем – по 7% годового роста)</w:t>
      </w:r>
      <w:r w:rsidRPr="00DC45A1">
        <w:rPr>
          <w:b/>
        </w:rPr>
        <w:t xml:space="preserve">, что </w:t>
      </w:r>
      <w:r w:rsidR="006B7BCA">
        <w:rPr>
          <w:b/>
        </w:rPr>
        <w:t>примерно соответствует официальной оценке</w:t>
      </w:r>
      <w:r w:rsidRPr="00DC45A1">
        <w:rPr>
          <w:b/>
        </w:rPr>
        <w:t xml:space="preserve"> (Росстат) инфляции потребительского рынка за этот период.</w:t>
      </w:r>
    </w:p>
    <w:p w:rsidR="00DC45A1" w:rsidRPr="00DC45A1" w:rsidRDefault="006A2A4C" w:rsidP="00DC45A1">
      <w:pPr>
        <w:rPr>
          <w:b/>
        </w:rPr>
      </w:pPr>
      <w:r>
        <w:rPr>
          <w:b/>
        </w:rPr>
        <w:t xml:space="preserve">Рост индекса </w:t>
      </w:r>
      <w:proofErr w:type="spellStart"/>
      <w:r>
        <w:rPr>
          <w:b/>
        </w:rPr>
        <w:t>КсМ</w:t>
      </w:r>
      <w:proofErr w:type="spellEnd"/>
      <w:r>
        <w:rPr>
          <w:b/>
        </w:rPr>
        <w:t xml:space="preserve"> в августе был обусловлен существенным ростом средних реальных цен приобретения продуктов, входящих в индекс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А вот объемы покупок в натуральном выражении по сравнению с прошлым годом выросли незначительно, а по сравнению с июлем – даже снижались</w:t>
      </w:r>
      <w:r w:rsidR="00DC45A1" w:rsidRPr="00DC45A1">
        <w:rPr>
          <w:b/>
        </w:rPr>
        <w:t xml:space="preserve">. </w:t>
      </w:r>
    </w:p>
    <w:p w:rsidR="00E92CA6" w:rsidRDefault="00E92CA6" w:rsidP="00DC45A1"/>
    <w:p w:rsidR="00DC45A1" w:rsidRPr="00DC45A1" w:rsidRDefault="006A2A4C" w:rsidP="00DC45A1">
      <w:r>
        <w:t>Ключевой новостью потребительского рынка в августе стало введение Россией «ответных мер» на недружественную политику ряда западных стран</w:t>
      </w:r>
      <w:r w:rsidR="00DC45A1" w:rsidRPr="00DC45A1">
        <w:t>.</w:t>
      </w:r>
      <w:r>
        <w:t xml:space="preserve"> В результате чего под российские «санкции» попал ряд продуктов, импортировавшихся из США, Австралии и стран Западной Европы. По мнению некоторых аналитиков</w:t>
      </w:r>
      <w:r w:rsidR="00AB7209">
        <w:t>,</w:t>
      </w:r>
      <w:r>
        <w:t xml:space="preserve"> это решение могло привести к ажиотажному спросу на импортные продукты, а затем</w:t>
      </w:r>
      <w:r w:rsidR="00AB7209">
        <w:t xml:space="preserve"> распространиться и на весь продовольственный рынок. Отдельные сообщения об этом даже стали появляться в СМИ и </w:t>
      </w:r>
      <w:proofErr w:type="spellStart"/>
      <w:r w:rsidR="00AB7209">
        <w:t>блогосфере</w:t>
      </w:r>
      <w:proofErr w:type="spellEnd"/>
      <w:r w:rsidR="00AB7209">
        <w:t xml:space="preserve">. Однако, интерес к «запрещенным продуктам», не стал массовым явлением, не перерос ни в оживление, ни тем более в панику, а привел лишь к росту реальных цен приобретения отдельных продуктов питания. В частности – входящих в индекс К-с-М, </w:t>
      </w:r>
      <w:proofErr w:type="spellStart"/>
      <w:r w:rsidR="00AB7209">
        <w:t>Ромир</w:t>
      </w:r>
      <w:proofErr w:type="spellEnd"/>
      <w:r w:rsidR="00AB7209">
        <w:t>.</w:t>
      </w:r>
    </w:p>
    <w:p w:rsidR="00AB7209" w:rsidRDefault="00DC45A1" w:rsidP="00DC45A1">
      <w:r w:rsidRPr="00DC45A1">
        <w:t xml:space="preserve">Индекс «Кофе – с – молоком» рассчитываемый по данным исследовательского холдинга </w:t>
      </w:r>
      <w:proofErr w:type="spellStart"/>
      <w:r w:rsidRPr="00DC45A1">
        <w:t>Ромир</w:t>
      </w:r>
      <w:proofErr w:type="spellEnd"/>
      <w:r w:rsidRPr="00DC45A1">
        <w:t xml:space="preserve">, полученным  по технологии непрерывного сканирования реальных покупок в домашних хозяйствах – </w:t>
      </w:r>
      <w:r w:rsidRPr="00DC45A1">
        <w:rPr>
          <w:b/>
        </w:rPr>
        <w:t>см. Справку</w:t>
      </w:r>
      <w:r w:rsidRPr="00DC45A1">
        <w:t xml:space="preserve"> </w:t>
      </w:r>
      <w:r w:rsidR="00AB7209">
        <w:t xml:space="preserve"> в августе 2014-го года вырос на 5,2% по сравнению с июлем текущего и на 23% по сравнению с августом прошлого года.</w:t>
      </w:r>
    </w:p>
    <w:p w:rsidR="00D72477" w:rsidRDefault="00AB7209" w:rsidP="00DC45A1">
      <w:r>
        <w:t xml:space="preserve">Рост индекса в августе по сравнению с июлем является совершенно не типичным явлением. Такое наблюдается впервые за весь период наблюдений </w:t>
      </w:r>
      <w:proofErr w:type="spellStart"/>
      <w:r>
        <w:t>Ромир</w:t>
      </w:r>
      <w:proofErr w:type="spellEnd"/>
      <w:r>
        <w:t xml:space="preserve"> с 2007-го года. </w:t>
      </w:r>
      <w:r w:rsidR="00D72477">
        <w:t>Обычно в августе индекс снижался в связи с наступлением «высокого отпускного сезона».</w:t>
      </w:r>
      <w:r w:rsidR="006F35B5">
        <w:t xml:space="preserve"> Пожалуй, этот феномен можно приписать влиянию нервозности потребителей, вызванной объявленными правительством России продуктовыми санкциями». </w:t>
      </w:r>
    </w:p>
    <w:p w:rsidR="006F35B5" w:rsidRDefault="006F35B5" w:rsidP="006F35B5">
      <w:r>
        <w:t>Рост индекса в августе на 5% по отношению к июлю был обусловлен исключительно ростом цен на все продукты, входящие в индекс. Так средняя реальная цена приобретения бутилированной воды увеличилась за месяц на 16% и вернулась к рекордным значениям января этого года – 20 рублей за литр. За пять лет (с августа 2009-го) бутилированная вода подорожала ровно в 1,5 раза</w:t>
      </w:r>
      <w:r w:rsidRPr="00DC45A1">
        <w:t>.</w:t>
      </w:r>
      <w:r>
        <w:t xml:space="preserve"> </w:t>
      </w:r>
      <w:r>
        <w:lastRenderedPageBreak/>
        <w:t xml:space="preserve">Средняя реальная цена приобретения молока выросла за месяц на 10%, до 44 рублей за литр. Это самое высокое значение за весь период наблюдений </w:t>
      </w:r>
      <w:proofErr w:type="spellStart"/>
      <w:r>
        <w:t>Ромир</w:t>
      </w:r>
      <w:proofErr w:type="spellEnd"/>
      <w:r>
        <w:t xml:space="preserve">. За пять лет молоко также </w:t>
      </w:r>
      <w:proofErr w:type="gramStart"/>
      <w:r>
        <w:t>как</w:t>
      </w:r>
      <w:proofErr w:type="gramEnd"/>
      <w:r>
        <w:t xml:space="preserve"> и вода подорожало в среднем в 1,5 раза. Цена на кофе выросла на 8,5% за месяц. Тоже до рекордных показателей за весь период наблюдений – 960 рублей за килограмм. Но за пять лет реальные цены приобретения этого продукта увеличились только на 30%. И на 6% за месяц выросли цены приобретения шоколада. За пять лет цена этого продукта увеличилась на 40%.</w:t>
      </w:r>
    </w:p>
    <w:p w:rsidR="006F35B5" w:rsidRDefault="006F35B5" w:rsidP="006F35B5">
      <w:r>
        <w:t>Нетрудно заметить, что такой значительный рост цен в разрезе одного месяца должен был дать существенно более значительный рост индекса (чем 5%), если бы не снижение натуральных объемов приобретения продуктов, входящих в индекс К-с-М. Так бутилированной воды было куплено в августе на 11% меньше, чем в июле. Здесь нельзя не отметить, что август в этом году выдался более прохладным, чем достаточно жаркий июль. Что, конечно, снизило спрос на воду. На 6% в натуральном выражении снизились покупки кофе. Так что никаких запасов этого продукта в связи с «продуктовыми санкциями» россияне не сделали.  На 3,5% снизились покупки молока. И только покупки шоколада выросли на 6%. Однако такой скромный рост «созданием стратегических запасов» никак нельзя назвать.</w:t>
      </w:r>
    </w:p>
    <w:p w:rsidR="00E1797A" w:rsidRDefault="00E1797A" w:rsidP="006F35B5">
      <w:r>
        <w:t>Таким образом, реакция российских потребителей в очередной раз оказалась плохо прогнозируемой. Вместо увеличения объемов закупки и создания запасов, как неоднократно бывало ранее в ситуациях реального или гипотетического дефицита, снизилась «чувствительность к цене». Т.е. часть потребителей сократили количество торговых точек, посещаемых в поисках «лучшей цены».</w:t>
      </w:r>
    </w:p>
    <w:p w:rsidR="008621E3" w:rsidRDefault="00DC45A1" w:rsidP="00DC45A1">
      <w:r w:rsidRPr="00DC45A1">
        <w:t xml:space="preserve">За год (по сравнению с </w:t>
      </w:r>
      <w:r w:rsidR="00E1797A">
        <w:t>августом 2</w:t>
      </w:r>
      <w:r w:rsidRPr="00DC45A1">
        <w:t xml:space="preserve">013-го года) индекс «Кофе с молоком» вырос на </w:t>
      </w:r>
      <w:r w:rsidR="00E1797A">
        <w:t>23</w:t>
      </w:r>
      <w:r w:rsidRPr="00DC45A1">
        <w:t xml:space="preserve">%. Это самый значительный рост в годовом выражении за </w:t>
      </w:r>
      <w:r w:rsidR="00E1797A">
        <w:t xml:space="preserve">последние пять </w:t>
      </w:r>
      <w:r w:rsidRPr="00DC45A1">
        <w:t>лет. Последний раз подобные темпы роста показателя наблюдались в</w:t>
      </w:r>
      <w:r w:rsidR="008621E3">
        <w:t xml:space="preserve"> апреле</w:t>
      </w:r>
      <w:r w:rsidRPr="00DC45A1">
        <w:t xml:space="preserve"> </w:t>
      </w:r>
      <w:r w:rsidR="00FB316F">
        <w:t xml:space="preserve">«кризисного» </w:t>
      </w:r>
      <w:r w:rsidRPr="00DC45A1">
        <w:t>2009-</w:t>
      </w:r>
      <w:r w:rsidR="008621E3">
        <w:t>го года</w:t>
      </w:r>
      <w:r w:rsidRPr="00DC45A1">
        <w:t>. Однако</w:t>
      </w:r>
      <w:proofErr w:type="gramStart"/>
      <w:r w:rsidRPr="00DC45A1">
        <w:t>,</w:t>
      </w:r>
      <w:proofErr w:type="gramEnd"/>
      <w:r w:rsidRPr="00DC45A1">
        <w:t xml:space="preserve"> нельзя не заметить, что этот впечатляющий рост (на </w:t>
      </w:r>
      <w:r w:rsidR="008621E3">
        <w:t>23</w:t>
      </w:r>
      <w:r w:rsidRPr="00DC45A1">
        <w:t xml:space="preserve">% за год) во многом был получен благодаря эффекту «низкой базы» </w:t>
      </w:r>
      <w:r w:rsidR="008621E3">
        <w:t>августа</w:t>
      </w:r>
      <w:r w:rsidRPr="00DC45A1">
        <w:t xml:space="preserve"> 2013-го. </w:t>
      </w:r>
      <w:r w:rsidR="008621E3">
        <w:t xml:space="preserve">Когда индекс снизился почти на 3% по сравнению с августом 2012-го. Да и в 2012-м году рост (к августу 2011-го) едва превысил 2%. А вот за три года (с августа 2011-го) индекс К-с-М, </w:t>
      </w:r>
      <w:proofErr w:type="spellStart"/>
      <w:r w:rsidR="008621E3">
        <w:t>Ромир</w:t>
      </w:r>
      <w:proofErr w:type="spellEnd"/>
      <w:r w:rsidR="008621E3">
        <w:t xml:space="preserve"> вырос всего на 22%. </w:t>
      </w:r>
      <w:r w:rsidR="008621E3">
        <w:t>Что соответствует показателю общей инфляции потребительского рынка за этот период.</w:t>
      </w:r>
      <w:r w:rsidR="008621E3">
        <w:t xml:space="preserve"> Т.е. средний годовой рост показателя составил всего 7% в год. </w:t>
      </w:r>
    </w:p>
    <w:p w:rsidR="00DC45A1" w:rsidRPr="00DC45A1" w:rsidRDefault="008621E3" w:rsidP="00DC45A1">
      <w:r>
        <w:t>Приписать годовой рост индекса исключительно влиянию «продовольственных санкций» мешает и тот факт</w:t>
      </w:r>
      <w:r w:rsidR="00DC45A1" w:rsidRPr="00DC45A1">
        <w:t xml:space="preserve">, что </w:t>
      </w:r>
      <w:r>
        <w:t>рост, причем высокими темпами, начался еще в июне (без всяких санкций) и продолжается уже три</w:t>
      </w:r>
      <w:r w:rsidR="00DC45A1" w:rsidRPr="00DC45A1">
        <w:t xml:space="preserve"> месяца подряд</w:t>
      </w:r>
      <w:r>
        <w:t>.</w:t>
      </w:r>
      <w:r w:rsidR="00DC45A1" w:rsidRPr="00DC45A1">
        <w:t xml:space="preserve"> Теперь уже со всей уверенностью можно заявить, что тенденция к стабилизации (и снижению) индекса К-с-М</w:t>
      </w:r>
      <w:r w:rsidR="00BC7F8F">
        <w:t>, наблюдавшаяся с лета 2013-го по весну 2014-го года,</w:t>
      </w:r>
      <w:r w:rsidR="00DC45A1" w:rsidRPr="00DC45A1">
        <w:t xml:space="preserve"> преодолена. О том, насколько устойчивым окажется новый рост - можно будет судить </w:t>
      </w:r>
      <w:r>
        <w:t>по данным</w:t>
      </w:r>
      <w:r w:rsidR="00DC45A1" w:rsidRPr="00DC45A1">
        <w:t xml:space="preserve"> сентября</w:t>
      </w:r>
      <w:r>
        <w:t xml:space="preserve"> и октября</w:t>
      </w:r>
      <w:r w:rsidR="00011297">
        <w:t>.</w:t>
      </w:r>
    </w:p>
    <w:p w:rsidR="0003721B" w:rsidRDefault="008621E3" w:rsidP="00DC45A1">
      <w:r>
        <w:t>Г</w:t>
      </w:r>
      <w:r w:rsidR="00DF76AE">
        <w:t xml:space="preserve">одовой рост индекса на 23% (к августу 2013-го) был вызван как увеличением реальных цен приобретения всех продуктов, входящих в индекс, так и небольшим ростом натуральных объемов покупки. </w:t>
      </w:r>
      <w:proofErr w:type="gramStart"/>
      <w:r w:rsidR="00DF76AE">
        <w:t xml:space="preserve">Так, воды было куплено на 2% больше, чем год назад; при том, что ее цена выросла за год на 8,5%. Кофе было приобретено на 6,5% больше, при росте цены на 10,5%. Молока было куплено на 17% больше, при росте цены </w:t>
      </w:r>
      <w:r w:rsidR="0003721B">
        <w:t xml:space="preserve">на 18%. А шоколада на 3% больше, при росте средней реальной цены реализации на 17%. </w:t>
      </w:r>
      <w:proofErr w:type="gramEnd"/>
    </w:p>
    <w:p w:rsidR="00FB316F" w:rsidRDefault="00FB316F" w:rsidP="00DC45A1"/>
    <w:p w:rsidR="00DF76AE" w:rsidRPr="00DC45A1" w:rsidRDefault="0003721B" w:rsidP="00DC45A1">
      <w:r>
        <w:lastRenderedPageBreak/>
        <w:t xml:space="preserve">Ранее, по многочисленным наблюдениям </w:t>
      </w:r>
      <w:proofErr w:type="spellStart"/>
      <w:r>
        <w:t>Ромир</w:t>
      </w:r>
      <w:proofErr w:type="spellEnd"/>
      <w:r>
        <w:t xml:space="preserve">, заметное повышение цены продукта (особенно долго хранящихся кофе и шоколада) приводило к снижению натуральных объемов его приобретения. В точности с постулатами микроэкономической теории. История с санкциями не </w:t>
      </w:r>
      <w:proofErr w:type="spellStart"/>
      <w:r>
        <w:t>сподвигнула</w:t>
      </w:r>
      <w:proofErr w:type="spellEnd"/>
      <w:r>
        <w:t xml:space="preserve"> россиян делать сверхплановые закупки кофе и шоколада. Но, подтолкнула к принятию более высоких цен на фоне опасений сокращения ассортимента.</w:t>
      </w:r>
    </w:p>
    <w:p w:rsidR="00DC45A1" w:rsidRPr="00DC45A1" w:rsidRDefault="00BC7F8F" w:rsidP="00DC45A1">
      <w:r>
        <w:t>Цены всех продуктов индекса выросли у всех групп потребителей. Но, особенно сильно «отличились» наиболее обеспеченные граждане, которые в августе 2014-го покупали бутилированную воду в среднем на 80% дороже, чем в июле и ровно в два раза дороже, чем в августе прошлого года. Это произошло благодаря увеличению доли воды, приобретаемой в небольших емкостях – 0,5 – 1 литр</w:t>
      </w:r>
      <w:r w:rsidR="00DC45A1" w:rsidRPr="00DC45A1">
        <w:t xml:space="preserve">. </w:t>
      </w:r>
      <w:r>
        <w:t>Малообеспеченные в августе сократили покупку воды и кофе на 25% по сравнению с июлем. Высокообеспеченные купили на 10% меньше воды и на 17% меньше шоколада.</w:t>
      </w:r>
    </w:p>
    <w:p w:rsidR="00DC45A1" w:rsidRPr="00DC45A1" w:rsidRDefault="00DC45A1" w:rsidP="00DC45A1">
      <w:r w:rsidRPr="00DC45A1">
        <w:t xml:space="preserve">В Москве Индекс К-с-М </w:t>
      </w:r>
      <w:proofErr w:type="spellStart"/>
      <w:r w:rsidRPr="00DC45A1">
        <w:t>Ромир</w:t>
      </w:r>
      <w:proofErr w:type="spellEnd"/>
      <w:r w:rsidRPr="00DC45A1">
        <w:t xml:space="preserve"> в </w:t>
      </w:r>
      <w:r w:rsidR="00515D4A">
        <w:t>августе вырос на 4,35% к показателю июл</w:t>
      </w:r>
      <w:r w:rsidRPr="00DC45A1">
        <w:t>я и на</w:t>
      </w:r>
      <w:r w:rsidR="00515D4A">
        <w:t xml:space="preserve"> 29</w:t>
      </w:r>
      <w:r w:rsidRPr="00DC45A1">
        <w:t xml:space="preserve">% (почти на </w:t>
      </w:r>
      <w:r w:rsidR="00515D4A">
        <w:t>треть</w:t>
      </w:r>
      <w:r w:rsidRPr="00DC45A1">
        <w:t xml:space="preserve">) по сравнению с </w:t>
      </w:r>
      <w:r w:rsidR="00515D4A">
        <w:t>августом</w:t>
      </w:r>
      <w:r w:rsidRPr="00DC45A1">
        <w:t xml:space="preserve"> 2013-го. </w:t>
      </w:r>
      <w:r w:rsidR="00515D4A">
        <w:t xml:space="preserve">Такая же картина наблюдалась и месяцем ранее. </w:t>
      </w:r>
      <w:r w:rsidRPr="00DC45A1">
        <w:t>Но в июле</w:t>
      </w:r>
      <w:r w:rsidR="00515D4A">
        <w:t xml:space="preserve"> - августе</w:t>
      </w:r>
      <w:r w:rsidRPr="00DC45A1">
        <w:t xml:space="preserve"> 2013-го имело место снижение </w:t>
      </w:r>
      <w:r w:rsidR="00515D4A">
        <w:t xml:space="preserve">индекса </w:t>
      </w:r>
      <w:r w:rsidRPr="00DC45A1">
        <w:t>на 13,5</w:t>
      </w:r>
      <w:r w:rsidR="00515D4A">
        <w:t xml:space="preserve"> и 4,5%</w:t>
      </w:r>
      <w:r w:rsidRPr="00DC45A1">
        <w:t xml:space="preserve"> по сравнению с июлем </w:t>
      </w:r>
      <w:r w:rsidR="00515D4A">
        <w:t xml:space="preserve">и августом </w:t>
      </w:r>
      <w:r w:rsidRPr="00DC45A1">
        <w:t xml:space="preserve">2012-го. Так что стремительный рост индекса в Москве также обусловлен эффектом «низкой базы». За три года (с </w:t>
      </w:r>
      <w:r w:rsidR="00515D4A">
        <w:t>августа</w:t>
      </w:r>
      <w:r w:rsidRPr="00DC45A1">
        <w:t xml:space="preserve"> 2011-го) рост индекса в Москве составил </w:t>
      </w:r>
      <w:r w:rsidR="00515D4A">
        <w:t>только 24%</w:t>
      </w:r>
      <w:r w:rsidRPr="00DC45A1">
        <w:t xml:space="preserve">.       </w:t>
      </w:r>
    </w:p>
    <w:p w:rsidR="00DC45A1" w:rsidRPr="00DC45A1" w:rsidRDefault="00DC45A1" w:rsidP="00DC45A1">
      <w:r w:rsidRPr="00DC45A1">
        <w:t xml:space="preserve">Впечатляющий годовой рост индекса К-с-М в Москве </w:t>
      </w:r>
      <w:r w:rsidR="00FB316F">
        <w:t>(</w:t>
      </w:r>
      <w:r w:rsidRPr="00DC45A1">
        <w:t>на 2</w:t>
      </w:r>
      <w:r w:rsidR="00515D4A">
        <w:t>9</w:t>
      </w:r>
      <w:r w:rsidRPr="00DC45A1">
        <w:t>%</w:t>
      </w:r>
      <w:r w:rsidR="00FB316F">
        <w:t>)</w:t>
      </w:r>
      <w:r w:rsidRPr="00DC45A1">
        <w:t xml:space="preserve"> произошел благодаря росту объемов натурального потребления </w:t>
      </w:r>
      <w:r w:rsidR="00515D4A">
        <w:t>молока (на 50%), воды (на 22%) и кофе (на 8%)</w:t>
      </w:r>
      <w:r w:rsidR="00D56204">
        <w:t>. П</w:t>
      </w:r>
      <w:r w:rsidR="00515D4A">
        <w:t>ри росте средних цен на молоко на 15%</w:t>
      </w:r>
      <w:r w:rsidR="00D56204">
        <w:t>, а</w:t>
      </w:r>
      <w:r w:rsidR="00515D4A">
        <w:t xml:space="preserve"> на шоколад на 18%. Средняя цена воды выросла за год на 5%, а на кофе – снизилась на 3%</w:t>
      </w:r>
      <w:r w:rsidRPr="00DC45A1">
        <w:t>.</w:t>
      </w:r>
    </w:p>
    <w:p w:rsidR="00DC45A1" w:rsidRPr="00DC45A1" w:rsidRDefault="00DC45A1" w:rsidP="00DC45A1">
      <w:r w:rsidRPr="00DC45A1">
        <w:t xml:space="preserve">Обеспеченные москвичи в </w:t>
      </w:r>
      <w:r w:rsidR="00D56204">
        <w:t>августе больше не покупа</w:t>
      </w:r>
      <w:r w:rsidR="00FB316F">
        <w:t>ли</w:t>
      </w:r>
      <w:r w:rsidRPr="00DC45A1">
        <w:t xml:space="preserve"> (как это уже было в апреле</w:t>
      </w:r>
      <w:r w:rsidR="00D56204">
        <w:t xml:space="preserve">, </w:t>
      </w:r>
      <w:r w:rsidRPr="00DC45A1">
        <w:t>мае</w:t>
      </w:r>
      <w:r w:rsidR="00D56204">
        <w:t xml:space="preserve"> и июле</w:t>
      </w:r>
      <w:r w:rsidRPr="00DC45A1">
        <w:t xml:space="preserve">)  кофе существенно дешевле, чем представители других потребительских групп. </w:t>
      </w:r>
      <w:r w:rsidR="00D56204">
        <w:t xml:space="preserve">Средняя реальная цена приобретения этого продукта выросла в этой группе за месяц на 60% и вернулась к </w:t>
      </w:r>
      <w:r w:rsidR="00FB316F">
        <w:t>«</w:t>
      </w:r>
      <w:r w:rsidR="00D56204">
        <w:t>нормальному</w:t>
      </w:r>
      <w:r w:rsidR="00FB316F">
        <w:t>»</w:t>
      </w:r>
      <w:r w:rsidR="00D56204">
        <w:t xml:space="preserve"> уровню</w:t>
      </w:r>
      <w:r w:rsidRPr="00DC45A1">
        <w:t>.</w:t>
      </w:r>
    </w:p>
    <w:p w:rsidR="00DC45A1" w:rsidRPr="00DC45A1" w:rsidRDefault="00DC45A1" w:rsidP="00DC45A1">
      <w:r w:rsidRPr="00DC45A1">
        <w:t xml:space="preserve">В других крупных городах (в целом, в среднем) в </w:t>
      </w:r>
      <w:r w:rsidR="00AB538B">
        <w:t xml:space="preserve">августе </w:t>
      </w:r>
      <w:r w:rsidRPr="00DC45A1">
        <w:t>2014</w:t>
      </w:r>
      <w:r w:rsidR="00AB538B">
        <w:t>-го года Индекс К-с-М вырос на 6,4% по сравнению с июл</w:t>
      </w:r>
      <w:r w:rsidRPr="00DC45A1">
        <w:t>ем. За год р</w:t>
      </w:r>
      <w:r w:rsidR="00AB538B">
        <w:t>ост значения индекса составил 19</w:t>
      </w:r>
      <w:r w:rsidRPr="00DC45A1">
        <w:t xml:space="preserve">% </w:t>
      </w:r>
      <w:r w:rsidR="00AB538B">
        <w:t xml:space="preserve">, </w:t>
      </w:r>
      <w:r w:rsidRPr="00DC45A1">
        <w:t xml:space="preserve">обогнав инфляцию потребительского рынка </w:t>
      </w:r>
      <w:r w:rsidR="00AB538B">
        <w:t>более чем в два раза</w:t>
      </w:r>
      <w:r w:rsidRPr="00DC45A1">
        <w:t xml:space="preserve">. За три года (с </w:t>
      </w:r>
      <w:r w:rsidR="00AB538B">
        <w:t>августа</w:t>
      </w:r>
      <w:r w:rsidRPr="00DC45A1">
        <w:t xml:space="preserve"> 2011-го) рост индекса составил </w:t>
      </w:r>
      <w:r w:rsidR="00AB538B">
        <w:t>21</w:t>
      </w:r>
      <w:r w:rsidRPr="00DC45A1">
        <w:t xml:space="preserve">%, что </w:t>
      </w:r>
      <w:r w:rsidR="00665AC2">
        <w:t xml:space="preserve">близко к </w:t>
      </w:r>
      <w:r w:rsidRPr="00DC45A1">
        <w:t>показател</w:t>
      </w:r>
      <w:r w:rsidR="00665AC2">
        <w:t>ю</w:t>
      </w:r>
      <w:r w:rsidRPr="00DC45A1">
        <w:t xml:space="preserve"> инфляции потребительского рынка. </w:t>
      </w:r>
    </w:p>
    <w:p w:rsidR="00DC45A1" w:rsidRPr="00DC45A1" w:rsidRDefault="00DC45A1" w:rsidP="00665AC2">
      <w:pPr>
        <w:rPr>
          <w:b/>
        </w:rPr>
      </w:pPr>
      <w:r w:rsidRPr="00DC45A1">
        <w:t>Рост индекса (</w:t>
      </w:r>
      <w:r w:rsidR="00665AC2">
        <w:t>август</w:t>
      </w:r>
      <w:r w:rsidRPr="00DC45A1">
        <w:t xml:space="preserve"> 2014-го к </w:t>
      </w:r>
      <w:r w:rsidR="00665AC2">
        <w:t>августу</w:t>
      </w:r>
      <w:r w:rsidRPr="00DC45A1">
        <w:t xml:space="preserve"> 2013-го) на 1</w:t>
      </w:r>
      <w:r w:rsidR="00665AC2">
        <w:t>9</w:t>
      </w:r>
      <w:r w:rsidRPr="00DC45A1">
        <w:t>% произошел благодаря росту цен</w:t>
      </w:r>
      <w:r w:rsidR="00665AC2">
        <w:t xml:space="preserve"> на все продукты индекса (кроме воды) на</w:t>
      </w:r>
      <w:r w:rsidRPr="00DC45A1">
        <w:t xml:space="preserve"> </w:t>
      </w:r>
      <w:r w:rsidR="00665AC2">
        <w:t>16 – 18% при росте объемов их потребления на 3 – 5% за год</w:t>
      </w:r>
      <w:proofErr w:type="gramStart"/>
      <w:r w:rsidR="00665AC2">
        <w:t>.</w:t>
      </w:r>
      <w:proofErr w:type="gramEnd"/>
      <w:r w:rsidR="00665AC2">
        <w:t xml:space="preserve"> Цена воды выросла за го</w:t>
      </w:r>
      <w:r w:rsidR="00FB316F">
        <w:t>д на 8%, а объем ее покупки сниз</w:t>
      </w:r>
      <w:r w:rsidR="00665AC2">
        <w:t xml:space="preserve">ился на 6% по сравнению с августом 2013-го. </w:t>
      </w:r>
    </w:p>
    <w:p w:rsidR="00FB316F" w:rsidRDefault="00FB316F" w:rsidP="00DC45A1">
      <w:pPr>
        <w:rPr>
          <w:b/>
        </w:rPr>
      </w:pPr>
    </w:p>
    <w:p w:rsidR="00FB316F" w:rsidRDefault="00FB316F" w:rsidP="00DC45A1">
      <w:pPr>
        <w:rPr>
          <w:b/>
        </w:rPr>
      </w:pPr>
    </w:p>
    <w:p w:rsidR="00FB316F" w:rsidRDefault="00FB316F" w:rsidP="00DC45A1">
      <w:pPr>
        <w:rPr>
          <w:b/>
        </w:rPr>
      </w:pPr>
    </w:p>
    <w:p w:rsidR="00FB316F" w:rsidRDefault="00FB316F" w:rsidP="00DC45A1">
      <w:pPr>
        <w:rPr>
          <w:b/>
        </w:rPr>
      </w:pPr>
    </w:p>
    <w:p w:rsidR="00FB316F" w:rsidRDefault="00FB316F" w:rsidP="00DC45A1">
      <w:pPr>
        <w:rPr>
          <w:b/>
        </w:rPr>
      </w:pPr>
    </w:p>
    <w:p w:rsidR="00FB316F" w:rsidRDefault="00FB316F" w:rsidP="00DC45A1">
      <w:pPr>
        <w:rPr>
          <w:b/>
        </w:rPr>
      </w:pPr>
    </w:p>
    <w:p w:rsidR="00DC45A1" w:rsidRPr="00DC45A1" w:rsidRDefault="00DC45A1" w:rsidP="00DC45A1">
      <w:pPr>
        <w:rPr>
          <w:b/>
        </w:rPr>
      </w:pPr>
      <w:bookmarkStart w:id="0" w:name="_GoBack"/>
      <w:bookmarkEnd w:id="0"/>
      <w:r w:rsidRPr="00DC45A1">
        <w:rPr>
          <w:b/>
        </w:rPr>
        <w:lastRenderedPageBreak/>
        <w:t xml:space="preserve">СПРАВКА: </w:t>
      </w:r>
    </w:p>
    <w:p w:rsidR="00DC45A1" w:rsidRPr="00DC45A1" w:rsidRDefault="00DC45A1" w:rsidP="00DC45A1">
      <w:r w:rsidRPr="00DC45A1">
        <w:t xml:space="preserve">Исследовательский холдинг </w:t>
      </w:r>
      <w:proofErr w:type="spellStart"/>
      <w:r w:rsidRPr="00DC45A1">
        <w:t>Ромир</w:t>
      </w:r>
      <w:proofErr w:type="spellEnd"/>
      <w:r w:rsidRPr="00DC45A1">
        <w:t xml:space="preserve"> разработал новый индекс для измерения динамики цен и потребительской активности – </w:t>
      </w:r>
      <w:r w:rsidRPr="00DC45A1">
        <w:rPr>
          <w:i/>
        </w:rPr>
        <w:t>«</w:t>
      </w:r>
      <w:proofErr w:type="spellStart"/>
      <w:r w:rsidRPr="00DC45A1">
        <w:rPr>
          <w:i/>
        </w:rPr>
        <w:t>Ромир</w:t>
      </w:r>
      <w:proofErr w:type="spellEnd"/>
      <w:r w:rsidRPr="00DC45A1">
        <w:rPr>
          <w:i/>
        </w:rPr>
        <w:t xml:space="preserve"> - индекс кофе-с-молоком»</w:t>
      </w:r>
      <w:r w:rsidRPr="00DC45A1">
        <w:t>, рассчитываемый на основе данных панели домохозяйств, оснащенных сканерами штрих кодов.</w:t>
      </w:r>
    </w:p>
    <w:p w:rsidR="00DC45A1" w:rsidRPr="00DC45A1" w:rsidRDefault="00DC45A1" w:rsidP="00DC45A1">
      <w:r w:rsidRPr="00DC45A1">
        <w:rPr>
          <w:i/>
        </w:rPr>
        <w:t>«</w:t>
      </w:r>
      <w:proofErr w:type="spellStart"/>
      <w:r w:rsidRPr="00DC45A1">
        <w:rPr>
          <w:i/>
        </w:rPr>
        <w:t>Ромир</w:t>
      </w:r>
      <w:proofErr w:type="spellEnd"/>
      <w:r w:rsidRPr="00DC45A1">
        <w:rPr>
          <w:i/>
        </w:rPr>
        <w:t xml:space="preserve"> - индекс кофе-с-молоком»</w:t>
      </w:r>
      <w:r w:rsidRPr="00DC45A1">
        <w:t xml:space="preserve"> отражает динамику цен и потребления небольшой группы товаров повседневного спроса не относящихся к продуктам первой необходимости.</w:t>
      </w:r>
    </w:p>
    <w:p w:rsidR="00DC45A1" w:rsidRPr="00DC45A1" w:rsidRDefault="00DC45A1" w:rsidP="00DC45A1">
      <w:r w:rsidRPr="00DC45A1">
        <w:t xml:space="preserve">Базой для расчета индекса являются ежедневно обновляемые, верифицированные данные по покупкам более 3,5 тыс. семей (домохозяйств) в 32 городах России с населением 100 000 жителей и более (технология сканирования штрих кодов). </w:t>
      </w:r>
    </w:p>
    <w:p w:rsidR="00DC45A1" w:rsidRPr="00DC45A1" w:rsidRDefault="00DC45A1" w:rsidP="00DC45A1">
      <w:pPr>
        <w:rPr>
          <w:b/>
        </w:rPr>
      </w:pPr>
    </w:p>
    <w:p w:rsidR="00DC45A1" w:rsidRPr="00DC45A1" w:rsidRDefault="00DC45A1" w:rsidP="00DC45A1">
      <w:pPr>
        <w:rPr>
          <w:b/>
        </w:rPr>
      </w:pPr>
    </w:p>
    <w:p w:rsidR="00DC45A1" w:rsidRPr="00DC45A1" w:rsidRDefault="00DC45A1" w:rsidP="00DC45A1">
      <w:pPr>
        <w:rPr>
          <w:b/>
        </w:rPr>
      </w:pPr>
      <w:r w:rsidRPr="00DC45A1">
        <w:rPr>
          <w:b/>
        </w:rPr>
        <w:t xml:space="preserve">Диаграмма 1. Динамика Индекса «Кофе-с-молоком». Январь 2010 – </w:t>
      </w:r>
      <w:r w:rsidR="007407F9">
        <w:rPr>
          <w:b/>
        </w:rPr>
        <w:t>август</w:t>
      </w:r>
      <w:r w:rsidRPr="00DC45A1">
        <w:rPr>
          <w:b/>
        </w:rPr>
        <w:t xml:space="preserve"> 2014.</w:t>
      </w:r>
    </w:p>
    <w:p w:rsidR="00DC45A1" w:rsidRPr="00DC45A1" w:rsidRDefault="00DC45A1" w:rsidP="00DC45A1">
      <w:r w:rsidRPr="00DC45A1">
        <w:rPr>
          <w:noProof/>
          <w:lang w:eastAsia="ru-RU"/>
        </w:rPr>
        <w:drawing>
          <wp:inline distT="0" distB="0" distL="0" distR="0" wp14:anchorId="42858183" wp14:editId="16C663D2">
            <wp:extent cx="5577840" cy="4076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45A1" w:rsidRPr="00DC45A1" w:rsidRDefault="00DC45A1" w:rsidP="00DC45A1">
      <w:pPr>
        <w:rPr>
          <w:b/>
        </w:rPr>
      </w:pPr>
      <w:r w:rsidRPr="00DC45A1">
        <w:rPr>
          <w:b/>
        </w:rPr>
        <w:t xml:space="preserve">Данные - </w:t>
      </w:r>
      <w:proofErr w:type="spellStart"/>
      <w:r w:rsidRPr="00DC45A1">
        <w:rPr>
          <w:b/>
        </w:rPr>
        <w:t>Ромир</w:t>
      </w:r>
      <w:proofErr w:type="spellEnd"/>
    </w:p>
    <w:p w:rsidR="00DC45A1" w:rsidRPr="00DC45A1" w:rsidRDefault="00DC45A1" w:rsidP="00DC45A1">
      <w:pPr>
        <w:rPr>
          <w:b/>
        </w:rPr>
      </w:pPr>
    </w:p>
    <w:p w:rsidR="00DC45A1" w:rsidRPr="00DC45A1" w:rsidRDefault="00DC45A1" w:rsidP="00DC45A1">
      <w:pPr>
        <w:rPr>
          <w:b/>
        </w:rPr>
      </w:pPr>
      <w:r w:rsidRPr="00DC45A1">
        <w:rPr>
          <w:b/>
        </w:rPr>
        <w:br w:type="page"/>
      </w:r>
    </w:p>
    <w:p w:rsidR="00DC45A1" w:rsidRPr="00DC45A1" w:rsidRDefault="00DC45A1" w:rsidP="00DC45A1">
      <w:r w:rsidRPr="00DC45A1">
        <w:rPr>
          <w:b/>
        </w:rPr>
        <w:lastRenderedPageBreak/>
        <w:t xml:space="preserve">Диаграмма 2. Значения Индекса «Кофе-с-молоком»: </w:t>
      </w:r>
      <w:r w:rsidR="007407F9">
        <w:rPr>
          <w:b/>
        </w:rPr>
        <w:t>август</w:t>
      </w:r>
      <w:r w:rsidRPr="00DC45A1">
        <w:rPr>
          <w:b/>
        </w:rPr>
        <w:t xml:space="preserve"> 2008 – 2014</w:t>
      </w:r>
      <w:r w:rsidRPr="00DC45A1">
        <w:t xml:space="preserve"> (за 100 принято значение июля 2008-го года) и темпы его роста (к соответствующему месяцу предыдущего года). </w:t>
      </w:r>
    </w:p>
    <w:p w:rsidR="00DC45A1" w:rsidRPr="00DC45A1" w:rsidRDefault="00DC45A1" w:rsidP="00DC45A1">
      <w:pPr>
        <w:rPr>
          <w:b/>
        </w:rPr>
      </w:pPr>
      <w:r w:rsidRPr="00DC45A1">
        <w:rPr>
          <w:noProof/>
          <w:lang w:eastAsia="ru-RU"/>
        </w:rPr>
        <w:drawing>
          <wp:inline distT="0" distB="0" distL="0" distR="0" wp14:anchorId="53F031F9" wp14:editId="40BA109F">
            <wp:extent cx="5425440" cy="3208020"/>
            <wp:effectExtent l="0" t="0" r="381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45A1" w:rsidRPr="00DC45A1" w:rsidRDefault="00DC45A1" w:rsidP="00DC45A1">
      <w:r w:rsidRPr="00DC45A1">
        <w:rPr>
          <w:b/>
        </w:rPr>
        <w:t xml:space="preserve">Данные – </w:t>
      </w:r>
      <w:proofErr w:type="spellStart"/>
      <w:r w:rsidRPr="00DC45A1">
        <w:rPr>
          <w:b/>
        </w:rPr>
        <w:t>Ромир</w:t>
      </w:r>
      <w:proofErr w:type="spellEnd"/>
      <w:r w:rsidRPr="00DC45A1">
        <w:rPr>
          <w:b/>
        </w:rPr>
        <w:t xml:space="preserve">  </w:t>
      </w:r>
    </w:p>
    <w:p w:rsidR="00DC45A1" w:rsidRPr="00DC45A1" w:rsidRDefault="00DC45A1" w:rsidP="00DC45A1">
      <w:pPr>
        <w:rPr>
          <w:b/>
        </w:rPr>
      </w:pPr>
    </w:p>
    <w:p w:rsidR="00DC45A1" w:rsidRPr="00DC45A1" w:rsidRDefault="00DC45A1" w:rsidP="00DC45A1">
      <w:r w:rsidRPr="00DC45A1">
        <w:rPr>
          <w:b/>
        </w:rPr>
        <w:t>Диаграмма 3. Значения Индекса «Кофе-с-молоком»: Январь 2008 – 2014</w:t>
      </w:r>
      <w:r w:rsidRPr="00DC45A1">
        <w:t xml:space="preserve"> (за 100 принято значение января 2008-го года) и темпы его роста (к соответствующему месяцу предыдущего года). </w:t>
      </w:r>
    </w:p>
    <w:p w:rsidR="00DC45A1" w:rsidRPr="00DC45A1" w:rsidRDefault="00DC45A1" w:rsidP="00DC45A1">
      <w:r w:rsidRPr="00DC45A1">
        <w:rPr>
          <w:noProof/>
          <w:lang w:eastAsia="ru-RU"/>
        </w:rPr>
        <w:drawing>
          <wp:inline distT="0" distB="0" distL="0" distR="0" wp14:anchorId="3D1C8492" wp14:editId="0A16A298">
            <wp:extent cx="5425440" cy="3436620"/>
            <wp:effectExtent l="0" t="0" r="381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45A1" w:rsidRPr="00DC45A1" w:rsidRDefault="00DC45A1" w:rsidP="00DC45A1">
      <w:r w:rsidRPr="00DC45A1">
        <w:rPr>
          <w:b/>
        </w:rPr>
        <w:t xml:space="preserve">Данные – </w:t>
      </w:r>
      <w:proofErr w:type="spellStart"/>
      <w:r w:rsidRPr="00DC45A1">
        <w:rPr>
          <w:b/>
        </w:rPr>
        <w:t>Ромир</w:t>
      </w:r>
      <w:proofErr w:type="spellEnd"/>
      <w:r w:rsidRPr="00DC45A1">
        <w:rPr>
          <w:b/>
        </w:rPr>
        <w:t xml:space="preserve">  </w:t>
      </w:r>
    </w:p>
    <w:p w:rsidR="000E4A00" w:rsidRDefault="000E4A00"/>
    <w:sectPr w:rsidR="000E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53"/>
    <w:rsid w:val="00011297"/>
    <w:rsid w:val="0003721B"/>
    <w:rsid w:val="000E4A00"/>
    <w:rsid w:val="00230753"/>
    <w:rsid w:val="00463725"/>
    <w:rsid w:val="00515D4A"/>
    <w:rsid w:val="00665AC2"/>
    <w:rsid w:val="006A2A4C"/>
    <w:rsid w:val="006B7BCA"/>
    <w:rsid w:val="006F35B5"/>
    <w:rsid w:val="007407F9"/>
    <w:rsid w:val="008621E3"/>
    <w:rsid w:val="00AB538B"/>
    <w:rsid w:val="00AB7209"/>
    <w:rsid w:val="00BC7F8F"/>
    <w:rsid w:val="00D03105"/>
    <w:rsid w:val="00D56204"/>
    <w:rsid w:val="00D72477"/>
    <w:rsid w:val="00DC45A1"/>
    <w:rsid w:val="00DF76AE"/>
    <w:rsid w:val="00E1797A"/>
    <w:rsid w:val="00E92CA6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334000258164446E-2"/>
          <c:y val="0.1258478671474477"/>
          <c:w val="0.90719049978892496"/>
          <c:h val="0.7240356083086052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1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31185350082989E-2"/>
                  <c:y val="-6.4201586105098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705577886680244E-2"/>
                  <c:y val="-7.3024400262113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259582936748269E-2"/>
                  <c:y val="-5.2490421443222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850165582448837E-3"/>
                  <c:y val="-3.8603137056444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78740944095229E-2"/>
                  <c:y val="-7.9038381357324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4440756094299429E-2"/>
                  <c:y val="-7.4448725747273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4371062008857268E-2"/>
                  <c:y val="-5.019571201217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2107813446396287E-3"/>
                  <c:y val="-3.2035569543893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6.360450573048998E-2"/>
                  <c:y val="2.885476340427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5653637700853082E-5"/>
                  <c:y val="3.92209839492852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855372973483193E-2"/>
                  <c:y val="-6.8118574394969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1409378023551273E-2"/>
                  <c:y val="-3.9038506590355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4.963383073619417E-3"/>
                  <c:y val="4.8676765891938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9945959552258809E-2"/>
                  <c:y val="-7.4725823741279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9911112509537777E-2"/>
                  <c:y val="-8.4181724057911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7019122609673844E-2"/>
                  <c:y val="-6.5150960895786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430270516884663E-2"/>
                  <c:y val="4.282119241139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5.4823994902735103E-2"/>
                  <c:y val="1.29894487410141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3.980657138137457E-2"/>
                  <c:y val="3.7796658464124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4.193200500287117E-2"/>
                  <c:y val="-2.35289256439721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-3.1200295767224974E-2"/>
                  <c:y val="3.5738992370609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-2.1897157960150116E-2"/>
                  <c:y val="-2.3212382564163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-1.0093512901051304E-2"/>
                  <c:y val="5.1135245168217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-6.5122879107324699E-2"/>
                  <c:y val="-1.5856522906227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-6.1130601681782817E-2"/>
                  <c:y val="-7.861191531662793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-3.1827463874707945E-2"/>
                  <c:y val="4.990313800343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-2.3952897496204641E-2"/>
                  <c:y val="-6.4557811018665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-2.3221188260558457E-2"/>
                  <c:y val="-3.215414154925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-5.7451734617104092E-4"/>
                  <c:y val="-5.3083808068299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-1.6244639502029458E-2"/>
                  <c:y val="-1.00811262228585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1"/>
              <c:layout>
                <c:manualLayout>
                  <c:x val="-5.69216757741347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2"/>
              <c:layout>
                <c:manualLayout>
                  <c:x val="-4.0983606557377046E-2"/>
                  <c:y val="3.3143939393939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layout>
                <c:manualLayout>
                  <c:x val="-6.8306010928961746E-3"/>
                  <c:y val="4.7348484848484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4"/>
              <c:layout>
                <c:manualLayout>
                  <c:x val="-5.0091074681238613E-2"/>
                  <c:y val="1.4204545454545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-2.7322404371584699E-2"/>
                  <c:y val="-2.8409090909090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6"/>
              <c:layout>
                <c:manualLayout>
                  <c:x val="-2.7322404371584699E-2"/>
                  <c:y val="6.1553030303030304E-2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71</a:t>
                    </a:r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layout>
                <c:manualLayout>
                  <c:x val="-3.8706739526411654E-2"/>
                  <c:y val="-3.7896683369124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8"/>
              <c:layout>
                <c:manualLayout>
                  <c:x val="-2.0491803278688523E-2"/>
                  <c:y val="6.1553030303030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9"/>
              <c:layout>
                <c:manualLayout>
                  <c:x val="-2.959927140255009E-2"/>
                  <c:y val="3.0400323791301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0"/>
              <c:layout>
                <c:manualLayout>
                  <c:x val="0"/>
                  <c:y val="-3.3143939393939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1"/>
              <c:layout>
                <c:manualLayout>
                  <c:x val="0"/>
                  <c:y val="-2.1806853582554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2"/>
              <c:layout>
                <c:manualLayout>
                  <c:x val="-4.0983606557377046E-2"/>
                  <c:y val="2.492211838006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3"/>
              <c:layout>
                <c:manualLayout>
                  <c:x val="-9.1074681238615673E-3"/>
                  <c:y val="3.738317757009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5"/>
              <c:layout>
                <c:manualLayout>
                  <c:x val="0"/>
                  <c:y val="-3.4267912772585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Sheet1!$B$1:$BE$1</c:f>
              <c:strCache>
                <c:ptCount val="56"/>
                <c:pt idx="0">
                  <c:v>янв.10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  <c:pt idx="12">
                  <c:v>янв.11</c:v>
                </c:pt>
                <c:pt idx="13">
                  <c:v>фев</c:v>
                </c:pt>
                <c:pt idx="14">
                  <c:v>март</c:v>
                </c:pt>
                <c:pt idx="15">
                  <c:v>апр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</c:v>
                </c:pt>
                <c:pt idx="20">
                  <c:v>сент</c:v>
                </c:pt>
                <c:pt idx="21">
                  <c:v>окт</c:v>
                </c:pt>
                <c:pt idx="22">
                  <c:v>нояб</c:v>
                </c:pt>
                <c:pt idx="23">
                  <c:v>дек</c:v>
                </c:pt>
                <c:pt idx="24">
                  <c:v>янв.12</c:v>
                </c:pt>
                <c:pt idx="25">
                  <c:v>фев</c:v>
                </c:pt>
                <c:pt idx="26">
                  <c:v>март</c:v>
                </c:pt>
                <c:pt idx="27">
                  <c:v>апр</c:v>
                </c:pt>
                <c:pt idx="28">
                  <c:v>май</c:v>
                </c:pt>
                <c:pt idx="29">
                  <c:v>июнь</c:v>
                </c:pt>
                <c:pt idx="30">
                  <c:v>июль</c:v>
                </c:pt>
                <c:pt idx="31">
                  <c:v>авг</c:v>
                </c:pt>
                <c:pt idx="32">
                  <c:v>сен</c:v>
                </c:pt>
                <c:pt idx="33">
                  <c:v>окт</c:v>
                </c:pt>
                <c:pt idx="34">
                  <c:v>ноя</c:v>
                </c:pt>
                <c:pt idx="35">
                  <c:v>дек</c:v>
                </c:pt>
                <c:pt idx="36">
                  <c:v>янв.13</c:v>
                </c:pt>
                <c:pt idx="37">
                  <c:v>фев</c:v>
                </c:pt>
                <c:pt idx="38">
                  <c:v>март</c:v>
                </c:pt>
                <c:pt idx="39">
                  <c:v>апр</c:v>
                </c:pt>
                <c:pt idx="40">
                  <c:v>май</c:v>
                </c:pt>
                <c:pt idx="41">
                  <c:v>июнь</c:v>
                </c:pt>
                <c:pt idx="42">
                  <c:v>июль</c:v>
                </c:pt>
                <c:pt idx="43">
                  <c:v>авг</c:v>
                </c:pt>
                <c:pt idx="44">
                  <c:v>сент</c:v>
                </c:pt>
                <c:pt idx="45">
                  <c:v>окт</c:v>
                </c:pt>
                <c:pt idx="46">
                  <c:v>ноя</c:v>
                </c:pt>
                <c:pt idx="47">
                  <c:v>дек</c:v>
                </c:pt>
                <c:pt idx="48">
                  <c:v>янв.14</c:v>
                </c:pt>
                <c:pt idx="49">
                  <c:v>фев</c:v>
                </c:pt>
                <c:pt idx="50">
                  <c:v>март</c:v>
                </c:pt>
                <c:pt idx="51">
                  <c:v>апр</c:v>
                </c:pt>
                <c:pt idx="52">
                  <c:v>май</c:v>
                </c:pt>
                <c:pt idx="53">
                  <c:v>июнь</c:v>
                </c:pt>
                <c:pt idx="54">
                  <c:v>июль</c:v>
                </c:pt>
                <c:pt idx="55">
                  <c:v>авг</c:v>
                </c:pt>
              </c:strCache>
            </c:strRef>
          </c:cat>
          <c:val>
            <c:numRef>
              <c:f>Sheet1!$B$2:$BE$2</c:f>
              <c:numCache>
                <c:formatCode>General</c:formatCode>
                <c:ptCount val="56"/>
                <c:pt idx="0">
                  <c:v>577</c:v>
                </c:pt>
                <c:pt idx="1">
                  <c:v>566</c:v>
                </c:pt>
                <c:pt idx="2">
                  <c:v>609</c:v>
                </c:pt>
                <c:pt idx="3">
                  <c:v>588</c:v>
                </c:pt>
                <c:pt idx="4">
                  <c:v>579</c:v>
                </c:pt>
                <c:pt idx="5">
                  <c:v>527</c:v>
                </c:pt>
                <c:pt idx="6">
                  <c:v>577</c:v>
                </c:pt>
                <c:pt idx="7">
                  <c:v>550</c:v>
                </c:pt>
                <c:pt idx="8">
                  <c:v>572</c:v>
                </c:pt>
                <c:pt idx="9">
                  <c:v>633</c:v>
                </c:pt>
                <c:pt idx="10">
                  <c:v>642</c:v>
                </c:pt>
                <c:pt idx="11">
                  <c:v>707</c:v>
                </c:pt>
                <c:pt idx="12">
                  <c:v>657</c:v>
                </c:pt>
                <c:pt idx="13">
                  <c:v>691</c:v>
                </c:pt>
                <c:pt idx="14">
                  <c:v>685</c:v>
                </c:pt>
                <c:pt idx="15">
                  <c:v>670</c:v>
                </c:pt>
                <c:pt idx="16">
                  <c:v>634</c:v>
                </c:pt>
                <c:pt idx="17">
                  <c:v>626</c:v>
                </c:pt>
                <c:pt idx="18">
                  <c:v>643</c:v>
                </c:pt>
                <c:pt idx="19">
                  <c:v>628</c:v>
                </c:pt>
                <c:pt idx="20">
                  <c:v>625</c:v>
                </c:pt>
                <c:pt idx="21">
                  <c:v>671</c:v>
                </c:pt>
                <c:pt idx="22">
                  <c:v>670</c:v>
                </c:pt>
                <c:pt idx="23">
                  <c:v>747</c:v>
                </c:pt>
                <c:pt idx="24">
                  <c:v>701</c:v>
                </c:pt>
                <c:pt idx="25">
                  <c:v>718</c:v>
                </c:pt>
                <c:pt idx="26">
                  <c:v>732</c:v>
                </c:pt>
                <c:pt idx="27">
                  <c:v>720</c:v>
                </c:pt>
                <c:pt idx="28">
                  <c:v>668</c:v>
                </c:pt>
                <c:pt idx="29">
                  <c:v>650</c:v>
                </c:pt>
                <c:pt idx="30">
                  <c:v>675</c:v>
                </c:pt>
                <c:pt idx="31">
                  <c:v>643</c:v>
                </c:pt>
                <c:pt idx="32">
                  <c:v>653</c:v>
                </c:pt>
                <c:pt idx="33">
                  <c:v>709</c:v>
                </c:pt>
                <c:pt idx="34">
                  <c:v>730</c:v>
                </c:pt>
                <c:pt idx="35">
                  <c:v>786</c:v>
                </c:pt>
                <c:pt idx="36">
                  <c:v>746</c:v>
                </c:pt>
                <c:pt idx="37">
                  <c:v>733</c:v>
                </c:pt>
                <c:pt idx="38">
                  <c:v>787</c:v>
                </c:pt>
                <c:pt idx="39">
                  <c:v>723</c:v>
                </c:pt>
                <c:pt idx="40">
                  <c:v>710</c:v>
                </c:pt>
                <c:pt idx="41">
                  <c:v>650</c:v>
                </c:pt>
                <c:pt idx="42">
                  <c:v>627</c:v>
                </c:pt>
                <c:pt idx="43">
                  <c:v>625</c:v>
                </c:pt>
                <c:pt idx="44">
                  <c:v>682</c:v>
                </c:pt>
                <c:pt idx="45">
                  <c:v>728</c:v>
                </c:pt>
                <c:pt idx="46">
                  <c:v>711</c:v>
                </c:pt>
                <c:pt idx="47">
                  <c:v>781</c:v>
                </c:pt>
                <c:pt idx="48">
                  <c:v>723</c:v>
                </c:pt>
                <c:pt idx="49">
                  <c:v>769</c:v>
                </c:pt>
                <c:pt idx="50">
                  <c:v>809</c:v>
                </c:pt>
                <c:pt idx="51">
                  <c:v>745</c:v>
                </c:pt>
                <c:pt idx="52">
                  <c:v>723</c:v>
                </c:pt>
                <c:pt idx="53">
                  <c:v>702</c:v>
                </c:pt>
                <c:pt idx="54">
                  <c:v>729</c:v>
                </c:pt>
                <c:pt idx="55">
                  <c:v>767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1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Sheet1!$B$1:$BE$1</c:f>
              <c:strCache>
                <c:ptCount val="56"/>
                <c:pt idx="0">
                  <c:v>янв.10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  <c:pt idx="12">
                  <c:v>янв.11</c:v>
                </c:pt>
                <c:pt idx="13">
                  <c:v>фев</c:v>
                </c:pt>
                <c:pt idx="14">
                  <c:v>март</c:v>
                </c:pt>
                <c:pt idx="15">
                  <c:v>апр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</c:v>
                </c:pt>
                <c:pt idx="20">
                  <c:v>сент</c:v>
                </c:pt>
                <c:pt idx="21">
                  <c:v>окт</c:v>
                </c:pt>
                <c:pt idx="22">
                  <c:v>нояб</c:v>
                </c:pt>
                <c:pt idx="23">
                  <c:v>дек</c:v>
                </c:pt>
                <c:pt idx="24">
                  <c:v>янв.12</c:v>
                </c:pt>
                <c:pt idx="25">
                  <c:v>фев</c:v>
                </c:pt>
                <c:pt idx="26">
                  <c:v>март</c:v>
                </c:pt>
                <c:pt idx="27">
                  <c:v>апр</c:v>
                </c:pt>
                <c:pt idx="28">
                  <c:v>май</c:v>
                </c:pt>
                <c:pt idx="29">
                  <c:v>июнь</c:v>
                </c:pt>
                <c:pt idx="30">
                  <c:v>июль</c:v>
                </c:pt>
                <c:pt idx="31">
                  <c:v>авг</c:v>
                </c:pt>
                <c:pt idx="32">
                  <c:v>сен</c:v>
                </c:pt>
                <c:pt idx="33">
                  <c:v>окт</c:v>
                </c:pt>
                <c:pt idx="34">
                  <c:v>ноя</c:v>
                </c:pt>
                <c:pt idx="35">
                  <c:v>дек</c:v>
                </c:pt>
                <c:pt idx="36">
                  <c:v>янв.13</c:v>
                </c:pt>
                <c:pt idx="37">
                  <c:v>фев</c:v>
                </c:pt>
                <c:pt idx="38">
                  <c:v>март</c:v>
                </c:pt>
                <c:pt idx="39">
                  <c:v>апр</c:v>
                </c:pt>
                <c:pt idx="40">
                  <c:v>май</c:v>
                </c:pt>
                <c:pt idx="41">
                  <c:v>июнь</c:v>
                </c:pt>
                <c:pt idx="42">
                  <c:v>июль</c:v>
                </c:pt>
                <c:pt idx="43">
                  <c:v>авг</c:v>
                </c:pt>
                <c:pt idx="44">
                  <c:v>сент</c:v>
                </c:pt>
                <c:pt idx="45">
                  <c:v>окт</c:v>
                </c:pt>
                <c:pt idx="46">
                  <c:v>ноя</c:v>
                </c:pt>
                <c:pt idx="47">
                  <c:v>дек</c:v>
                </c:pt>
                <c:pt idx="48">
                  <c:v>янв.14</c:v>
                </c:pt>
                <c:pt idx="49">
                  <c:v>фев</c:v>
                </c:pt>
                <c:pt idx="50">
                  <c:v>март</c:v>
                </c:pt>
                <c:pt idx="51">
                  <c:v>апр</c:v>
                </c:pt>
                <c:pt idx="52">
                  <c:v>май</c:v>
                </c:pt>
                <c:pt idx="53">
                  <c:v>июнь</c:v>
                </c:pt>
                <c:pt idx="54">
                  <c:v>июль</c:v>
                </c:pt>
                <c:pt idx="55">
                  <c:v>авг</c:v>
                </c:pt>
              </c:strCache>
            </c:strRef>
          </c:cat>
          <c:val>
            <c:numRef>
              <c:f>Sheet1!$B$3:$BE$3</c:f>
              <c:numCache>
                <c:formatCode>General</c:formatCode>
                <c:ptCount val="56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18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Sheet1!$B$1:$BE$1</c:f>
              <c:strCache>
                <c:ptCount val="56"/>
                <c:pt idx="0">
                  <c:v>янв.10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  <c:pt idx="12">
                  <c:v>янв.11</c:v>
                </c:pt>
                <c:pt idx="13">
                  <c:v>фев</c:v>
                </c:pt>
                <c:pt idx="14">
                  <c:v>март</c:v>
                </c:pt>
                <c:pt idx="15">
                  <c:v>апр</c:v>
                </c:pt>
                <c:pt idx="16">
                  <c:v>май</c:v>
                </c:pt>
                <c:pt idx="17">
                  <c:v>июнь</c:v>
                </c:pt>
                <c:pt idx="18">
                  <c:v>июль</c:v>
                </c:pt>
                <c:pt idx="19">
                  <c:v>авг</c:v>
                </c:pt>
                <c:pt idx="20">
                  <c:v>сент</c:v>
                </c:pt>
                <c:pt idx="21">
                  <c:v>окт</c:v>
                </c:pt>
                <c:pt idx="22">
                  <c:v>нояб</c:v>
                </c:pt>
                <c:pt idx="23">
                  <c:v>дек</c:v>
                </c:pt>
                <c:pt idx="24">
                  <c:v>янв.12</c:v>
                </c:pt>
                <c:pt idx="25">
                  <c:v>фев</c:v>
                </c:pt>
                <c:pt idx="26">
                  <c:v>март</c:v>
                </c:pt>
                <c:pt idx="27">
                  <c:v>апр</c:v>
                </c:pt>
                <c:pt idx="28">
                  <c:v>май</c:v>
                </c:pt>
                <c:pt idx="29">
                  <c:v>июнь</c:v>
                </c:pt>
                <c:pt idx="30">
                  <c:v>июль</c:v>
                </c:pt>
                <c:pt idx="31">
                  <c:v>авг</c:v>
                </c:pt>
                <c:pt idx="32">
                  <c:v>сен</c:v>
                </c:pt>
                <c:pt idx="33">
                  <c:v>окт</c:v>
                </c:pt>
                <c:pt idx="34">
                  <c:v>ноя</c:v>
                </c:pt>
                <c:pt idx="35">
                  <c:v>дек</c:v>
                </c:pt>
                <c:pt idx="36">
                  <c:v>янв.13</c:v>
                </c:pt>
                <c:pt idx="37">
                  <c:v>фев</c:v>
                </c:pt>
                <c:pt idx="38">
                  <c:v>март</c:v>
                </c:pt>
                <c:pt idx="39">
                  <c:v>апр</c:v>
                </c:pt>
                <c:pt idx="40">
                  <c:v>май</c:v>
                </c:pt>
                <c:pt idx="41">
                  <c:v>июнь</c:v>
                </c:pt>
                <c:pt idx="42">
                  <c:v>июль</c:v>
                </c:pt>
                <c:pt idx="43">
                  <c:v>авг</c:v>
                </c:pt>
                <c:pt idx="44">
                  <c:v>сент</c:v>
                </c:pt>
                <c:pt idx="45">
                  <c:v>окт</c:v>
                </c:pt>
                <c:pt idx="46">
                  <c:v>ноя</c:v>
                </c:pt>
                <c:pt idx="47">
                  <c:v>дек</c:v>
                </c:pt>
                <c:pt idx="48">
                  <c:v>янв.14</c:v>
                </c:pt>
                <c:pt idx="49">
                  <c:v>фев</c:v>
                </c:pt>
                <c:pt idx="50">
                  <c:v>март</c:v>
                </c:pt>
                <c:pt idx="51">
                  <c:v>апр</c:v>
                </c:pt>
                <c:pt idx="52">
                  <c:v>май</c:v>
                </c:pt>
                <c:pt idx="53">
                  <c:v>июнь</c:v>
                </c:pt>
                <c:pt idx="54">
                  <c:v>июль</c:v>
                </c:pt>
                <c:pt idx="55">
                  <c:v>авг</c:v>
                </c:pt>
              </c:strCache>
            </c:strRef>
          </c:cat>
          <c:val>
            <c:numRef>
              <c:f>Sheet1!$B$4:$BE$4</c:f>
              <c:numCache>
                <c:formatCode>General</c:formatCode>
                <c:ptCount val="5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969472"/>
        <c:axId val="116359936"/>
      </c:lineChart>
      <c:catAx>
        <c:axId val="10096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-354000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359936"/>
        <c:crossesAt val="500"/>
        <c:auto val="1"/>
        <c:lblAlgn val="ctr"/>
        <c:lblOffset val="100"/>
        <c:tickLblSkip val="2"/>
        <c:tickMarkSkip val="1"/>
        <c:noMultiLvlLbl val="0"/>
      </c:catAx>
      <c:valAx>
        <c:axId val="116359936"/>
        <c:scaling>
          <c:orientation val="minMax"/>
          <c:max val="850"/>
          <c:min val="500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969472"/>
        <c:crosses val="autoZero"/>
        <c:crossBetween val="between"/>
        <c:majorUnit val="50"/>
        <c:minorUnit val="10"/>
      </c:valAx>
      <c:spPr>
        <a:solidFill>
          <a:srgbClr val="C0C0C0"/>
        </a:solidFill>
        <a:ln w="1271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909612625538014E-2"/>
          <c:y val="0.1749271137026239"/>
          <c:w val="0.85796269727403152"/>
          <c:h val="0.67930029154518956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Индекс</c:v>
                </c:pt>
              </c:strCache>
            </c:strRef>
          </c:tx>
          <c:spPr>
            <a:ln w="1271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-4.276390486301572E-2"/>
                  <c:y val="-6.7099957477382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461291684855179E-2"/>
                  <c:y val="-9.0084183625376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1123595505618E-2"/>
                  <c:y val="-7.4487895716946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114</c:v>
                </c:pt>
                <c:pt idx="2">
                  <c:v>125</c:v>
                </c:pt>
                <c:pt idx="3">
                  <c:v>142</c:v>
                </c:pt>
                <c:pt idx="4">
                  <c:v>146</c:v>
                </c:pt>
                <c:pt idx="5">
                  <c:v>141</c:v>
                </c:pt>
                <c:pt idx="6">
                  <c:v>174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18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869952"/>
        <c:axId val="117879936"/>
      </c:line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Тем роста , %</c:v>
                </c:pt>
              </c:strCache>
            </c:strRef>
          </c:tx>
          <c:spPr>
            <a:ln w="1271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2"/>
              <c:layout>
                <c:manualLayout>
                  <c:x val="-1.1678868442006546E-2"/>
                  <c:y val="-5.2382366310356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5200389277183E-2"/>
                  <c:y val="8.33835540110558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522353947329619E-2"/>
                  <c:y val="7.084707986920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66104868913857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14</c:v>
                </c:pt>
                <c:pt idx="1">
                  <c:v>13.8</c:v>
                </c:pt>
                <c:pt idx="2">
                  <c:v>9.6</c:v>
                </c:pt>
                <c:pt idx="3">
                  <c:v>14.2</c:v>
                </c:pt>
                <c:pt idx="4">
                  <c:v>2.2999999999999998</c:v>
                </c:pt>
                <c:pt idx="5">
                  <c:v>-2.7</c:v>
                </c:pt>
                <c:pt idx="6">
                  <c:v>22.7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881472"/>
        <c:axId val="117891456"/>
      </c:lineChart>
      <c:catAx>
        <c:axId val="11786995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87993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117879936"/>
        <c:scaling>
          <c:orientation val="minMax"/>
          <c:max val="180"/>
          <c:min val="10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869952"/>
        <c:crosses val="autoZero"/>
        <c:crossBetween val="between"/>
        <c:majorUnit val="20"/>
        <c:minorUnit val="10"/>
      </c:valAx>
      <c:catAx>
        <c:axId val="11788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891456"/>
        <c:crossesAt val="0"/>
        <c:auto val="0"/>
        <c:lblAlgn val="ctr"/>
        <c:lblOffset val="100"/>
        <c:noMultiLvlLbl val="0"/>
      </c:catAx>
      <c:valAx>
        <c:axId val="117891456"/>
        <c:scaling>
          <c:orientation val="minMax"/>
          <c:max val="25"/>
          <c:min val="-1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881472"/>
        <c:crosses val="max"/>
        <c:crossBetween val="between"/>
        <c:majorUnit val="5"/>
        <c:minorUnit val="1"/>
      </c:valAx>
      <c:spPr>
        <a:solidFill>
          <a:srgbClr val="C0C0C0"/>
        </a:solidFill>
        <a:ln w="12718">
          <a:solidFill>
            <a:srgbClr val="808080"/>
          </a:solidFill>
          <a:prstDash val="solid"/>
        </a:ln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32281205164992821"/>
          <c:y val="8.7463556851311956E-3"/>
          <c:w val="0.36728837876614057"/>
          <c:h val="8.1632653061224483E-2"/>
        </c:manualLayout>
      </c:layout>
      <c:overlay val="0"/>
      <c:spPr>
        <a:solidFill>
          <a:srgbClr val="FFFFFF"/>
        </a:solidFill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909612625538014E-2"/>
          <c:y val="0.1749271137026239"/>
          <c:w val="0.85796269727403152"/>
          <c:h val="0.67930029154518956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Индекс</c:v>
                </c:pt>
              </c:strCache>
            </c:strRef>
          </c:tx>
          <c:spPr>
            <a:ln w="1271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-4.276390486301572E-2"/>
                  <c:y val="-6.7099957477382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461291684855179E-2"/>
                  <c:y val="-9.0084183625376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1123595505618E-2"/>
                  <c:y val="-7.4487895716946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100</c:v>
                </c:pt>
                <c:pt idx="1">
                  <c:v>112</c:v>
                </c:pt>
                <c:pt idx="2">
                  <c:v>133</c:v>
                </c:pt>
                <c:pt idx="3">
                  <c:v>151</c:v>
                </c:pt>
                <c:pt idx="4">
                  <c:v>161</c:v>
                </c:pt>
                <c:pt idx="5">
                  <c:v>171</c:v>
                </c:pt>
                <c:pt idx="6">
                  <c:v>166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18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729600"/>
        <c:axId val="120731136"/>
      </c:line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Тем роста, %</c:v>
                </c:pt>
              </c:strCache>
            </c:strRef>
          </c:tx>
          <c:spPr>
            <a:ln w="1271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2"/>
              <c:layout>
                <c:manualLayout>
                  <c:x val="-1.1678776415804086E-2"/>
                  <c:y val="3.6072068633650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5200389277183E-2"/>
                  <c:y val="8.33835540110558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522353947329619E-2"/>
                  <c:y val="7.084707986920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15</c:v>
                </c:pt>
                <c:pt idx="1">
                  <c:v>12</c:v>
                </c:pt>
                <c:pt idx="2">
                  <c:v>18.5</c:v>
                </c:pt>
                <c:pt idx="3">
                  <c:v>14</c:v>
                </c:pt>
                <c:pt idx="4">
                  <c:v>7</c:v>
                </c:pt>
                <c:pt idx="5">
                  <c:v>6</c:v>
                </c:pt>
                <c:pt idx="6">
                  <c:v>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732672"/>
        <c:axId val="120742656"/>
      </c:lineChart>
      <c:catAx>
        <c:axId val="12072960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73113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120731136"/>
        <c:scaling>
          <c:orientation val="minMax"/>
          <c:max val="180"/>
          <c:min val="10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729600"/>
        <c:crosses val="autoZero"/>
        <c:crossBetween val="between"/>
        <c:majorUnit val="20"/>
        <c:minorUnit val="10"/>
      </c:valAx>
      <c:catAx>
        <c:axId val="120732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742656"/>
        <c:crossesAt val="0"/>
        <c:auto val="0"/>
        <c:lblAlgn val="ctr"/>
        <c:lblOffset val="100"/>
        <c:noMultiLvlLbl val="0"/>
      </c:catAx>
      <c:valAx>
        <c:axId val="120742656"/>
        <c:scaling>
          <c:orientation val="minMax"/>
          <c:max val="20"/>
          <c:min val="-5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732672"/>
        <c:crosses val="max"/>
        <c:crossBetween val="between"/>
        <c:majorUnit val="5"/>
        <c:minorUnit val="1"/>
      </c:valAx>
      <c:spPr>
        <a:solidFill>
          <a:srgbClr val="C0C0C0"/>
        </a:solidFill>
        <a:ln w="12718">
          <a:solidFill>
            <a:srgbClr val="808080"/>
          </a:solidFill>
          <a:prstDash val="solid"/>
        </a:ln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32281205164992821"/>
          <c:y val="8.7463556851311956E-3"/>
          <c:w val="0.36728837876614057"/>
          <c:h val="8.1632653061224483E-2"/>
        </c:manualLayout>
      </c:layout>
      <c:overlay val="0"/>
      <c:spPr>
        <a:solidFill>
          <a:srgbClr val="FFFFFF"/>
        </a:solidFill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2014-09-09T08:47:00Z</dcterms:created>
  <dcterms:modified xsi:type="dcterms:W3CDTF">2014-09-10T19:07:00Z</dcterms:modified>
</cp:coreProperties>
</file>