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A9" w:rsidRPr="00F827A9" w:rsidRDefault="00F827A9" w:rsidP="00F827A9">
      <w:pPr>
        <w:rPr>
          <w:b/>
          <w:sz w:val="28"/>
          <w:szCs w:val="28"/>
        </w:rPr>
      </w:pPr>
      <w:r w:rsidRPr="00F827A9">
        <w:rPr>
          <w:b/>
          <w:sz w:val="28"/>
          <w:szCs w:val="28"/>
        </w:rPr>
        <w:t xml:space="preserve">Июль: </w:t>
      </w:r>
      <w:r w:rsidR="00D329F6">
        <w:rPr>
          <w:b/>
          <w:sz w:val="28"/>
          <w:szCs w:val="28"/>
        </w:rPr>
        <w:t>На рынке товаров повседневного спроса сохраняется стабильность</w:t>
      </w:r>
    </w:p>
    <w:p w:rsidR="00F827A9" w:rsidRPr="00F827A9" w:rsidRDefault="00F827A9" w:rsidP="00F827A9">
      <w:pPr>
        <w:rPr>
          <w:b/>
        </w:rPr>
      </w:pPr>
      <w:r w:rsidRPr="00F827A9">
        <w:rPr>
          <w:b/>
        </w:rPr>
        <w:t xml:space="preserve">В </w:t>
      </w:r>
      <w:r w:rsidR="00D329F6">
        <w:rPr>
          <w:b/>
        </w:rPr>
        <w:t>июл</w:t>
      </w:r>
      <w:r w:rsidRPr="00F827A9">
        <w:rPr>
          <w:b/>
        </w:rPr>
        <w:t xml:space="preserve">е 2014-го года повседневные потребительские расходы </w:t>
      </w:r>
      <w:r w:rsidR="00D329F6">
        <w:rPr>
          <w:b/>
        </w:rPr>
        <w:t>выросли в номинальном выражении на 4% и по сравнению с июнем текущего, и по сравнению с июлем прошлого года. Рост потребительской активности в июле по сравнению с июнем фиксируется второй год подряд. В предыдущие пять лет июль давал снижение к июню на 2 – 4%, а в экстремально жарком июле 2010-го снижение составило даже 8%.</w:t>
      </w:r>
      <w:r w:rsidRPr="00F827A9">
        <w:rPr>
          <w:b/>
        </w:rPr>
        <w:t xml:space="preserve"> </w:t>
      </w:r>
      <w:r w:rsidR="00D329F6">
        <w:rPr>
          <w:b/>
        </w:rPr>
        <w:t>Номинальное у</w:t>
      </w:r>
      <w:r w:rsidRPr="00F827A9">
        <w:rPr>
          <w:b/>
        </w:rPr>
        <w:t xml:space="preserve">величение расходов в годовом выражении фиксируется </w:t>
      </w:r>
      <w:r w:rsidR="00D329F6">
        <w:rPr>
          <w:b/>
        </w:rPr>
        <w:t>третий</w:t>
      </w:r>
      <w:r w:rsidRPr="00F827A9">
        <w:rPr>
          <w:b/>
        </w:rPr>
        <w:t xml:space="preserve"> месяц подряд (в мае было +6%</w:t>
      </w:r>
      <w:r w:rsidR="00D329F6">
        <w:rPr>
          <w:b/>
        </w:rPr>
        <w:t>, в июне – те же +4%</w:t>
      </w:r>
      <w:r w:rsidRPr="00F827A9">
        <w:rPr>
          <w:b/>
        </w:rPr>
        <w:t xml:space="preserve">). Таким образом, тенденция к снижению потребительской активности (в формате месяц к месяцу предыдущего года) наблюдавшаяся семь месяцев подряд </w:t>
      </w:r>
      <w:r w:rsidR="006F05C6">
        <w:rPr>
          <w:b/>
        </w:rPr>
        <w:t xml:space="preserve">с октября 2013-го по апрель 2014-го </w:t>
      </w:r>
      <w:r w:rsidRPr="00F827A9">
        <w:rPr>
          <w:b/>
        </w:rPr>
        <w:t>сменилась небольшим ростом. С учетом годовой инфляции (</w:t>
      </w:r>
      <w:r w:rsidR="00D329F6">
        <w:rPr>
          <w:b/>
        </w:rPr>
        <w:t>7,5%) реальные расходы в июл</w:t>
      </w:r>
      <w:r w:rsidRPr="00F827A9">
        <w:rPr>
          <w:b/>
        </w:rPr>
        <w:t>е сократились на 3</w:t>
      </w:r>
      <w:r w:rsidR="00D329F6">
        <w:rPr>
          <w:b/>
        </w:rPr>
        <w:t>,25% по сравнению с июл</w:t>
      </w:r>
      <w:r w:rsidRPr="00F827A9">
        <w:rPr>
          <w:b/>
        </w:rPr>
        <w:t>ем 2013-го года.</w:t>
      </w:r>
    </w:p>
    <w:p w:rsidR="00F827A9" w:rsidRPr="00F827A9" w:rsidRDefault="00F827A9" w:rsidP="00F827A9">
      <w:pPr>
        <w:rPr>
          <w:b/>
        </w:rPr>
      </w:pPr>
    </w:p>
    <w:p w:rsidR="00F827A9" w:rsidRPr="006F05C6" w:rsidRDefault="00F827A9" w:rsidP="00F827A9">
      <w:pPr>
        <w:rPr>
          <w:sz w:val="28"/>
          <w:szCs w:val="28"/>
        </w:rPr>
      </w:pPr>
      <w:r w:rsidRPr="006F05C6">
        <w:rPr>
          <w:sz w:val="28"/>
          <w:szCs w:val="28"/>
        </w:rPr>
        <w:t>Игорь Березин</w:t>
      </w:r>
    </w:p>
    <w:p w:rsidR="00F827A9" w:rsidRPr="00F827A9" w:rsidRDefault="00F827A9" w:rsidP="00F827A9">
      <w:pPr>
        <w:rPr>
          <w:b/>
        </w:rPr>
      </w:pPr>
      <w:r w:rsidRPr="00F827A9">
        <w:rPr>
          <w:b/>
        </w:rPr>
        <w:t xml:space="preserve">Ведущий эксперт исследовательского холдинга </w:t>
      </w:r>
      <w:r w:rsidRPr="00F827A9">
        <w:rPr>
          <w:b/>
          <w:lang w:val="en-US"/>
        </w:rPr>
        <w:t>Romir</w:t>
      </w:r>
    </w:p>
    <w:p w:rsidR="00F827A9" w:rsidRPr="00F827A9" w:rsidRDefault="00F827A9" w:rsidP="00F827A9">
      <w:pPr>
        <w:rPr>
          <w:b/>
        </w:rPr>
      </w:pPr>
      <w:r w:rsidRPr="00F827A9">
        <w:rPr>
          <w:b/>
        </w:rPr>
        <w:t>Президент Гильдии Маркетологов</w:t>
      </w:r>
    </w:p>
    <w:p w:rsidR="00F827A9" w:rsidRPr="00F827A9" w:rsidRDefault="00F827A9" w:rsidP="00F827A9"/>
    <w:p w:rsidR="009419FF" w:rsidRDefault="009419FF" w:rsidP="00F827A9">
      <w:r>
        <w:t xml:space="preserve">Июль 2014-го года выдался весьма жарким. И в прямом смысле – «климатическая норма» была превышена на 5 градусов, и в переносном. Продолжила накаляться международная обстановка. Страны Запада усилили давление </w:t>
      </w:r>
      <w:proofErr w:type="gramStart"/>
      <w:r>
        <w:t>на нашу страну в связи с катастрофой Боинга в небе над Украиной</w:t>
      </w:r>
      <w:proofErr w:type="gramEnd"/>
      <w:r>
        <w:t>. Рубль, после непродолжительного укрепления в мае – июне вновь начал слабеть и скатился к отметке 36 рублей за доллар. Продолжили падение продажи легковых автомобилей. Начались проблемы у крупных туроператоров</w:t>
      </w:r>
      <w:r w:rsidR="00E82013">
        <w:t>. На таком внешнем фоне от повседневного потребления можно было также ожидать экстремального поведения. Жара могла бы спровоцировать серьезное падение потребительской активности, как это было в июле 2010-го. Санкции и напряженность в отношениях с Западом на фоне замедления экономического роста в России могли бы спровоцировать экстремальный ро</w:t>
      </w:r>
      <w:proofErr w:type="gramStart"/>
      <w:r w:rsidR="00E82013">
        <w:t>ст спр</w:t>
      </w:r>
      <w:proofErr w:type="gramEnd"/>
      <w:r w:rsidR="00E82013">
        <w:t>оса на продукты питания с длительными сроками хранения: крупы, макароны, консервы и т.п. Однако, вопреки неблагоприятному внешнему фону</w:t>
      </w:r>
      <w:r w:rsidR="00723135">
        <w:t>,</w:t>
      </w:r>
      <w:r w:rsidR="00E82013">
        <w:t xml:space="preserve"> месяц на рынках продуктов питания и непродовольственных товаров повседневного спроса сложился достаточно </w:t>
      </w:r>
      <w:proofErr w:type="gramStart"/>
      <w:r w:rsidR="00E82013">
        <w:t>спокойным</w:t>
      </w:r>
      <w:proofErr w:type="gramEnd"/>
      <w:r w:rsidR="00E82013">
        <w:t>.</w:t>
      </w:r>
    </w:p>
    <w:p w:rsidR="00723135" w:rsidRDefault="00F827A9" w:rsidP="00723135">
      <w:r w:rsidRPr="00F827A9">
        <w:t xml:space="preserve">По данным исследовательского холдинга </w:t>
      </w:r>
      <w:proofErr w:type="spellStart"/>
      <w:r w:rsidRPr="00F827A9">
        <w:t>Ромир</w:t>
      </w:r>
      <w:proofErr w:type="spellEnd"/>
      <w:r w:rsidRPr="00F827A9">
        <w:t xml:space="preserve">, полученным  по технологии непрерывного сканирования покупок в домашних хозяйствах – </w:t>
      </w:r>
      <w:r w:rsidRPr="00F827A9">
        <w:rPr>
          <w:b/>
        </w:rPr>
        <w:t>см. Справку</w:t>
      </w:r>
      <w:r w:rsidRPr="00F827A9">
        <w:t xml:space="preserve"> – в </w:t>
      </w:r>
      <w:r w:rsidR="00723135" w:rsidRPr="00723135">
        <w:t xml:space="preserve">июле 2014-го года повседневные потребительские расходы выросли в номинальном выражении на 4% по сравнению с июнем текущего. Рост потребительской активности в июле по сравнению с июнем фиксируется второй год подряд. В предыдущие пять лет июль давал снижение к июню на 2 – 4%, а в экстремально жарком июле 2010-го снижение составило даже 8%. </w:t>
      </w:r>
    </w:p>
    <w:p w:rsidR="000E7F89" w:rsidRDefault="00723135" w:rsidP="00723135">
      <w:r>
        <w:t xml:space="preserve">По сравнению с июлем прошлого года номинальные повседневные расходы россиян также выросли на 4%. </w:t>
      </w:r>
      <w:r w:rsidRPr="00723135">
        <w:t xml:space="preserve">Номинальное увеличение расходов в годовом выражении фиксируется </w:t>
      </w:r>
      <w:r w:rsidR="000E7F89">
        <w:t xml:space="preserve">уже </w:t>
      </w:r>
      <w:r w:rsidRPr="00723135">
        <w:t xml:space="preserve">третий месяц подряд (в мае было +6%, в июне – те же +4%). Таким образом, тенденция к снижению потребительской активности (в формате месяц к месяцу предыдущего года) наблюдавшаяся семь месяцев подряд с октября 2013-го по апрель 2014-го сменилась небольшим ростом. </w:t>
      </w:r>
    </w:p>
    <w:p w:rsidR="00F827A9" w:rsidRPr="00F827A9" w:rsidRDefault="00723135" w:rsidP="00F827A9">
      <w:r w:rsidRPr="00723135">
        <w:lastRenderedPageBreak/>
        <w:t>С учетом годовой инфляции (7,5%</w:t>
      </w:r>
      <w:r w:rsidR="000E7F89">
        <w:t xml:space="preserve"> по данным Росстата</w:t>
      </w:r>
      <w:r w:rsidRPr="00723135">
        <w:t xml:space="preserve">) реальные </w:t>
      </w:r>
      <w:r w:rsidR="000E7F89">
        <w:t xml:space="preserve">повседневные </w:t>
      </w:r>
      <w:r w:rsidRPr="00723135">
        <w:t>расходы в июле сократились на 3,25% по сравнению с июлем 2013-го года.</w:t>
      </w:r>
      <w:r w:rsidR="000E7F89">
        <w:t xml:space="preserve"> За пять лет (с июл</w:t>
      </w:r>
      <w:r w:rsidR="00F827A9" w:rsidRPr="00F827A9">
        <w:t>я 2009-го года) номинальные расходы на продукты питания и непродовольственные товары повседневного спроса выросли на 8</w:t>
      </w:r>
      <w:r w:rsidR="000E7F89">
        <w:t>1</w:t>
      </w:r>
      <w:r w:rsidR="00F827A9" w:rsidRPr="00F827A9">
        <w:t>,5%. Накопленная инфляция за этот период (по данным Росстата) составила 45%. В реальном выра</w:t>
      </w:r>
      <w:r w:rsidR="000E7F89">
        <w:t>жении повседневные расходы в июл</w:t>
      </w:r>
      <w:r w:rsidR="00F827A9" w:rsidRPr="00F827A9">
        <w:t xml:space="preserve">е 2014-го оказались на </w:t>
      </w:r>
      <w:r w:rsidR="000E7F89">
        <w:t>25% выше, чем в июл</w:t>
      </w:r>
      <w:r w:rsidR="00F827A9" w:rsidRPr="00F827A9">
        <w:t>е 2009-го.</w:t>
      </w:r>
    </w:p>
    <w:p w:rsidR="00F827A9" w:rsidRPr="00F827A9" w:rsidRDefault="00F827A9" w:rsidP="00F827A9">
      <w:pPr>
        <w:rPr>
          <w:b/>
          <w:u w:val="single"/>
        </w:rPr>
      </w:pPr>
      <w:r w:rsidRPr="00F827A9">
        <w:t xml:space="preserve">Средняя начисленная заработная плата по экономике в целом выросла за эти пять лет в номинальном выражении на 75%. А средняя пенсия увеличилась в два раза. Таким образом, номинальный рост повседневных расходов за пять лет практически совпал с номинальным ростом  заработной платы и доходов населения. </w:t>
      </w:r>
    </w:p>
    <w:p w:rsidR="00F827A9" w:rsidRPr="003D5EDA" w:rsidRDefault="00F827A9" w:rsidP="00F827A9">
      <w:pPr>
        <w:rPr>
          <w:b/>
          <w:sz w:val="24"/>
          <w:szCs w:val="24"/>
          <w:u w:val="single"/>
        </w:rPr>
      </w:pPr>
      <w:r w:rsidRPr="003D5EDA">
        <w:rPr>
          <w:b/>
          <w:sz w:val="24"/>
          <w:szCs w:val="24"/>
          <w:u w:val="single"/>
        </w:rPr>
        <w:t>Доля продовольствия</w:t>
      </w:r>
    </w:p>
    <w:p w:rsidR="00F827A9" w:rsidRPr="00F827A9" w:rsidRDefault="00F827A9" w:rsidP="00F827A9">
      <w:r w:rsidRPr="00F827A9">
        <w:t xml:space="preserve">В </w:t>
      </w:r>
      <w:r w:rsidR="000E7F89">
        <w:t>июл</w:t>
      </w:r>
      <w:r w:rsidRPr="00F827A9">
        <w:t>е 2014-го доля продуктов питания в общем объеме потребления повседневных товаров (</w:t>
      </w:r>
      <w:r w:rsidRPr="00F827A9">
        <w:rPr>
          <w:b/>
        </w:rPr>
        <w:t>без учета услуг и крупных покупок</w:t>
      </w:r>
      <w:r w:rsidRPr="00F827A9">
        <w:t xml:space="preserve">) немного возросла по сравнению с </w:t>
      </w:r>
      <w:r w:rsidR="00CF329E">
        <w:t>июл</w:t>
      </w:r>
      <w:r w:rsidRPr="00F827A9">
        <w:t>ем 2013-го. И составила 57%</w:t>
      </w:r>
      <w:r w:rsidR="00CF329E">
        <w:t>, против 52</w:t>
      </w:r>
      <w:r w:rsidRPr="00F827A9">
        <w:t xml:space="preserve">% годом ранее. Доля непродовольственных товаров повседневного спроса снизилась и составила 43%. С учетом изменения структуры можно сказать, что расходы на продукты питания </w:t>
      </w:r>
      <w:r w:rsidR="00CF329E">
        <w:t>за год выросли на 14</w:t>
      </w:r>
      <w:r w:rsidRPr="00F827A9">
        <w:t>%, а на непродовольственные товары повсе</w:t>
      </w:r>
      <w:r w:rsidR="00CF329E">
        <w:t>дневного спроса сократились на 7</w:t>
      </w:r>
      <w:r w:rsidRPr="00F827A9">
        <w:t xml:space="preserve">%. Это </w:t>
      </w:r>
      <w:r w:rsidR="00CF329E">
        <w:t>продолжение «</w:t>
      </w:r>
      <w:r w:rsidRPr="00F827A9">
        <w:t>нов</w:t>
      </w:r>
      <w:r w:rsidR="00CF329E">
        <w:t>ой тенденции», наметившейся еще в мае - июне</w:t>
      </w:r>
      <w:r w:rsidRPr="00F827A9">
        <w:t>. С октября 2013-го по март 2014-го доля расходов на продукты снижалась в годовом выражении. В отдельные месяцы наблюдалось даже сокращение номинальных расходов на продукты питания на 12 – 15%. И вот теперь расходы на продукты начали восстанавливаться.</w:t>
      </w:r>
    </w:p>
    <w:p w:rsidR="00F827A9" w:rsidRPr="00F827A9" w:rsidRDefault="00F827A9" w:rsidP="00F827A9">
      <w:pPr>
        <w:rPr>
          <w:b/>
          <w:u w:val="single"/>
        </w:rPr>
      </w:pPr>
    </w:p>
    <w:p w:rsidR="00F827A9" w:rsidRPr="003D5EDA" w:rsidRDefault="00F827A9" w:rsidP="00F827A9">
      <w:pPr>
        <w:rPr>
          <w:b/>
          <w:sz w:val="24"/>
          <w:szCs w:val="24"/>
          <w:u w:val="single"/>
        </w:rPr>
      </w:pPr>
      <w:r w:rsidRPr="003D5EDA">
        <w:rPr>
          <w:b/>
          <w:sz w:val="24"/>
          <w:szCs w:val="24"/>
          <w:u w:val="single"/>
        </w:rPr>
        <w:t>Города</w:t>
      </w:r>
    </w:p>
    <w:p w:rsidR="00F827A9" w:rsidRPr="00F827A9" w:rsidRDefault="00F827A9" w:rsidP="00F827A9">
      <w:r w:rsidRPr="00F827A9">
        <w:t>В Москве</w:t>
      </w:r>
      <w:r w:rsidR="0083227B">
        <w:t>, невзирая на жару,</w:t>
      </w:r>
      <w:r w:rsidRPr="00F827A9">
        <w:t xml:space="preserve"> в </w:t>
      </w:r>
      <w:r w:rsidR="0083227B">
        <w:t>июл</w:t>
      </w:r>
      <w:r w:rsidRPr="00F827A9">
        <w:t>е 2014-го про</w:t>
      </w:r>
      <w:r w:rsidR="0083227B">
        <w:t>изошел перелом в динамике потребительской активности. Наблюдавшееся с апреля по июнь сезонное</w:t>
      </w:r>
      <w:r w:rsidR="002943D2">
        <w:t xml:space="preserve"> </w:t>
      </w:r>
      <w:r w:rsidR="0083227B">
        <w:t xml:space="preserve">снижение активности сменилось ярко выраженным ростом. </w:t>
      </w:r>
      <w:r w:rsidR="002943D2">
        <w:t>+11% к июню – невиданный доселе июльский рост. И +13% к июлю 2013-го. Почти в два раза выше показателя инфляции.</w:t>
      </w:r>
      <w:r w:rsidRPr="00F827A9">
        <w:t xml:space="preserve"> За пять лет (</w:t>
      </w:r>
      <w:r w:rsidRPr="00F827A9">
        <w:rPr>
          <w:b/>
        </w:rPr>
        <w:t xml:space="preserve">с </w:t>
      </w:r>
      <w:r w:rsidR="002943D2">
        <w:rPr>
          <w:b/>
        </w:rPr>
        <w:t>июл</w:t>
      </w:r>
      <w:r w:rsidRPr="00F827A9">
        <w:rPr>
          <w:b/>
        </w:rPr>
        <w:t>я 2009-го</w:t>
      </w:r>
      <w:r w:rsidRPr="00F827A9">
        <w:t xml:space="preserve">) номинальные расходы москвичей выросли </w:t>
      </w:r>
      <w:r w:rsidR="002943D2">
        <w:t>почти в два раза (</w:t>
      </w:r>
      <w:r w:rsidRPr="00F827A9">
        <w:t xml:space="preserve">на </w:t>
      </w:r>
      <w:r w:rsidR="002943D2">
        <w:t>95,5</w:t>
      </w:r>
      <w:r w:rsidRPr="00F827A9">
        <w:t>%</w:t>
      </w:r>
      <w:r w:rsidR="002943D2">
        <w:t>)</w:t>
      </w:r>
      <w:r w:rsidRPr="00F827A9">
        <w:t xml:space="preserve">. Реальные – на </w:t>
      </w:r>
      <w:r w:rsidR="002943D2">
        <w:t>35</w:t>
      </w:r>
      <w:r w:rsidRPr="00F827A9">
        <w:t xml:space="preserve">%. </w:t>
      </w:r>
      <w:r w:rsidR="002943D2">
        <w:t xml:space="preserve">Таким образом, в июле в Москве произошла своеобразная «компенсация» отставания в росте повседневных расходов, наблюдавшаяся много месяцев. </w:t>
      </w:r>
    </w:p>
    <w:p w:rsidR="00F827A9" w:rsidRPr="00F827A9" w:rsidRDefault="00F827A9" w:rsidP="00F827A9">
      <w:r w:rsidRPr="00F827A9">
        <w:t xml:space="preserve">В Санкт-Петербурге повседневные расходы в </w:t>
      </w:r>
      <w:r w:rsidR="002943D2">
        <w:t>июл</w:t>
      </w:r>
      <w:r w:rsidRPr="00F827A9">
        <w:t xml:space="preserve">е </w:t>
      </w:r>
      <w:r w:rsidR="002943D2">
        <w:t>выросли на 7,5% к июню и на 12% к июлю прошлого года. И без того весьма не ярко выраженный</w:t>
      </w:r>
      <w:r w:rsidRPr="00F827A9">
        <w:t xml:space="preserve"> в северной столице </w:t>
      </w:r>
      <w:r w:rsidR="002943D2">
        <w:t>«</w:t>
      </w:r>
      <w:r w:rsidRPr="00F827A9">
        <w:t>сезонный спад</w:t>
      </w:r>
      <w:r w:rsidR="002943D2">
        <w:t>»</w:t>
      </w:r>
      <w:r w:rsidRPr="00F827A9">
        <w:t xml:space="preserve"> </w:t>
      </w:r>
      <w:r w:rsidR="002943D2">
        <w:t>сменился уверенным ростом.</w:t>
      </w:r>
      <w:r w:rsidRPr="00F827A9">
        <w:t xml:space="preserve"> Даже с учетом инфляции можно говорить о росте </w:t>
      </w:r>
      <w:r w:rsidR="00A941E2">
        <w:t xml:space="preserve">реальных </w:t>
      </w:r>
      <w:r w:rsidRPr="00F827A9">
        <w:t xml:space="preserve">повседневных расходов в </w:t>
      </w:r>
      <w:r w:rsidR="002943D2">
        <w:t xml:space="preserve">Санкт-Петербурге на 4% </w:t>
      </w:r>
      <w:r w:rsidRPr="00F827A9">
        <w:t>в годовом выражении. За  пять лет (</w:t>
      </w:r>
      <w:r w:rsidRPr="00F827A9">
        <w:rPr>
          <w:b/>
        </w:rPr>
        <w:t>с ию</w:t>
      </w:r>
      <w:r w:rsidR="00A941E2">
        <w:rPr>
          <w:b/>
        </w:rPr>
        <w:t>л</w:t>
      </w:r>
      <w:r w:rsidRPr="00F827A9">
        <w:rPr>
          <w:b/>
        </w:rPr>
        <w:t>я 2009-го</w:t>
      </w:r>
      <w:r w:rsidRPr="00F827A9">
        <w:t xml:space="preserve">) номинальный рост повседневных расходов составил в Петербурге </w:t>
      </w:r>
      <w:r w:rsidR="00A941E2">
        <w:t>62</w:t>
      </w:r>
      <w:r w:rsidRPr="00F827A9">
        <w:t xml:space="preserve">%, а реальный – </w:t>
      </w:r>
      <w:r w:rsidR="00A941E2">
        <w:t>только</w:t>
      </w:r>
      <w:r w:rsidRPr="00F827A9">
        <w:t xml:space="preserve"> </w:t>
      </w:r>
      <w:r w:rsidR="00A941E2">
        <w:t>1</w:t>
      </w:r>
      <w:r w:rsidRPr="00F827A9">
        <w:t xml:space="preserve">2%. </w:t>
      </w:r>
      <w:r w:rsidR="00A941E2">
        <w:t>Таким образом, после многих месяцев опережающего роста Питер значительно уступил по этим показателям Москве.</w:t>
      </w:r>
    </w:p>
    <w:p w:rsidR="00F827A9" w:rsidRPr="00F827A9" w:rsidRDefault="00F827A9" w:rsidP="00F827A9">
      <w:r w:rsidRPr="00F827A9">
        <w:t xml:space="preserve">В городах с населением 1 – 1,5 миллиона жителей повседневное потребление в </w:t>
      </w:r>
      <w:r w:rsidR="00713B72">
        <w:t>июл</w:t>
      </w:r>
      <w:r w:rsidRPr="00F827A9">
        <w:t xml:space="preserve">е </w:t>
      </w:r>
      <w:r w:rsidR="00713B72">
        <w:t xml:space="preserve">выросло на 2% по сравнению с июнем, но снизилось </w:t>
      </w:r>
      <w:proofErr w:type="gramStart"/>
      <w:r w:rsidR="00713B72">
        <w:t>на те</w:t>
      </w:r>
      <w:proofErr w:type="gramEnd"/>
      <w:r w:rsidR="00713B72">
        <w:t xml:space="preserve"> же 2% по сравнению с июлем 2013-го. А в реальном выражении </w:t>
      </w:r>
      <w:r w:rsidRPr="00F827A9">
        <w:t>с</w:t>
      </w:r>
      <w:r w:rsidR="00713B72">
        <w:t>н</w:t>
      </w:r>
      <w:r w:rsidRPr="00F827A9">
        <w:t>и</w:t>
      </w:r>
      <w:r w:rsidR="00713B72">
        <w:t xml:space="preserve">жение составило почти </w:t>
      </w:r>
      <w:r w:rsidRPr="00F827A9">
        <w:t>10%</w:t>
      </w:r>
      <w:r w:rsidR="00713B72">
        <w:t>.</w:t>
      </w:r>
      <w:r w:rsidRPr="00F827A9">
        <w:t xml:space="preserve"> За пять лет (</w:t>
      </w:r>
      <w:r w:rsidRPr="00F827A9">
        <w:rPr>
          <w:b/>
        </w:rPr>
        <w:t>с июня 2009-го</w:t>
      </w:r>
      <w:r w:rsidRPr="00F827A9">
        <w:t xml:space="preserve">) номинальный рост в городах этого размера составил в среднем </w:t>
      </w:r>
      <w:r w:rsidR="00713B72">
        <w:t>71</w:t>
      </w:r>
      <w:r w:rsidRPr="00F827A9">
        <w:t>%, а реальный - около 18%.</w:t>
      </w:r>
    </w:p>
    <w:p w:rsidR="00F827A9" w:rsidRPr="00F827A9" w:rsidRDefault="00F827A9" w:rsidP="00F827A9">
      <w:r w:rsidRPr="00F827A9">
        <w:lastRenderedPageBreak/>
        <w:t xml:space="preserve">В городах с населением 500 – 800 тысяч жителей повседневные расходы в </w:t>
      </w:r>
      <w:r w:rsidR="00713B72">
        <w:t>июл</w:t>
      </w:r>
      <w:r w:rsidRPr="00F827A9">
        <w:t xml:space="preserve">е снизились к </w:t>
      </w:r>
      <w:r w:rsidR="00713B72">
        <w:t xml:space="preserve">июню на 1,5% и выросли к июлю 2013-го </w:t>
      </w:r>
      <w:proofErr w:type="gramStart"/>
      <w:r w:rsidR="00713B72">
        <w:t>на те</w:t>
      </w:r>
      <w:proofErr w:type="gramEnd"/>
      <w:r w:rsidR="00713B72">
        <w:t xml:space="preserve"> же 1,5%. В городах этого размера в этом году сезонный цикл вообще не просматривается.</w:t>
      </w:r>
      <w:r w:rsidRPr="00F827A9">
        <w:t xml:space="preserve"> За пять лет номинальный рост в этих городах составил в среднем </w:t>
      </w:r>
      <w:r w:rsidR="00713B72">
        <w:t>85</w:t>
      </w:r>
      <w:r w:rsidRPr="00F827A9">
        <w:t xml:space="preserve">%, реальный – около </w:t>
      </w:r>
      <w:r w:rsidR="00713B72">
        <w:t>28</w:t>
      </w:r>
      <w:r w:rsidRPr="00F827A9">
        <w:t xml:space="preserve">%. </w:t>
      </w:r>
    </w:p>
    <w:p w:rsidR="00F827A9" w:rsidRPr="00F827A9" w:rsidRDefault="00F827A9" w:rsidP="00F827A9">
      <w:r w:rsidRPr="00F827A9">
        <w:t>В городах с населением 100 – 450 тысяч жи</w:t>
      </w:r>
      <w:r w:rsidR="003D5EDA">
        <w:t>телей повседневные расходы в июл</w:t>
      </w:r>
      <w:r w:rsidRPr="00F827A9">
        <w:t xml:space="preserve">е </w:t>
      </w:r>
      <w:r w:rsidR="003D5EDA">
        <w:t>выросли</w:t>
      </w:r>
      <w:r w:rsidRPr="00F827A9">
        <w:t xml:space="preserve"> на </w:t>
      </w:r>
      <w:r w:rsidR="003D5EDA">
        <w:t>6</w:t>
      </w:r>
      <w:r w:rsidRPr="00F827A9">
        <w:t xml:space="preserve">,5% к </w:t>
      </w:r>
      <w:r w:rsidR="003D5EDA">
        <w:t>июню, и не изменились по сравнению с июлем прошлого года. В реальном выражении снизились на 7% за год.</w:t>
      </w:r>
      <w:r w:rsidRPr="00F827A9">
        <w:t xml:space="preserve"> </w:t>
      </w:r>
    </w:p>
    <w:p w:rsidR="00F827A9" w:rsidRPr="00F827A9" w:rsidRDefault="00F827A9" w:rsidP="00F827A9">
      <w:pPr>
        <w:rPr>
          <w:b/>
        </w:rPr>
      </w:pPr>
    </w:p>
    <w:p w:rsidR="00F827A9" w:rsidRPr="00F827A9" w:rsidRDefault="00F827A9" w:rsidP="00F827A9">
      <w:pPr>
        <w:rPr>
          <w:b/>
        </w:rPr>
      </w:pPr>
      <w:r w:rsidRPr="00F827A9">
        <w:rPr>
          <w:b/>
        </w:rPr>
        <w:t xml:space="preserve">Диаграмма 1. Изменение повседневных потребительских расходов по городам различного размера в январе - </w:t>
      </w:r>
      <w:r w:rsidR="003D5EDA">
        <w:rPr>
          <w:b/>
        </w:rPr>
        <w:t>июл</w:t>
      </w:r>
      <w:r w:rsidRPr="00F827A9">
        <w:rPr>
          <w:b/>
        </w:rPr>
        <w:t xml:space="preserve">е 2014-го года; в номинальном выражении; </w:t>
      </w:r>
      <w:proofErr w:type="gramStart"/>
      <w:r w:rsidRPr="00F827A9">
        <w:rPr>
          <w:b/>
        </w:rPr>
        <w:t>в</w:t>
      </w:r>
      <w:proofErr w:type="gramEnd"/>
      <w:r w:rsidRPr="00F827A9">
        <w:rPr>
          <w:b/>
        </w:rPr>
        <w:t>%</w:t>
      </w:r>
    </w:p>
    <w:p w:rsidR="00F827A9" w:rsidRPr="00F827A9" w:rsidRDefault="00F827A9" w:rsidP="00F827A9">
      <w:r w:rsidRPr="00F827A9">
        <w:drawing>
          <wp:inline distT="0" distB="0" distL="0" distR="0" wp14:anchorId="3F0497AC" wp14:editId="2E3B6EBD">
            <wp:extent cx="5486400" cy="3093720"/>
            <wp:effectExtent l="0" t="0" r="1905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827A9" w:rsidRPr="00F827A9" w:rsidRDefault="00F827A9" w:rsidP="00F827A9">
      <w:pPr>
        <w:rPr>
          <w:b/>
        </w:rPr>
      </w:pPr>
      <w:r w:rsidRPr="00F827A9">
        <w:rPr>
          <w:b/>
        </w:rPr>
        <w:t xml:space="preserve">Источник - </w:t>
      </w:r>
      <w:proofErr w:type="spellStart"/>
      <w:r w:rsidRPr="00F827A9">
        <w:rPr>
          <w:b/>
        </w:rPr>
        <w:t>Ромир</w:t>
      </w:r>
      <w:proofErr w:type="spellEnd"/>
    </w:p>
    <w:p w:rsidR="00F827A9" w:rsidRPr="00F827A9" w:rsidRDefault="00F827A9" w:rsidP="00F827A9">
      <w:pPr>
        <w:rPr>
          <w:b/>
          <w:u w:val="single"/>
        </w:rPr>
      </w:pPr>
    </w:p>
    <w:p w:rsidR="00F827A9" w:rsidRPr="003D5EDA" w:rsidRDefault="00F827A9" w:rsidP="00F827A9">
      <w:pPr>
        <w:rPr>
          <w:b/>
          <w:sz w:val="24"/>
          <w:szCs w:val="24"/>
          <w:u w:val="single"/>
        </w:rPr>
      </w:pPr>
      <w:r w:rsidRPr="003D5EDA">
        <w:rPr>
          <w:b/>
          <w:sz w:val="24"/>
          <w:szCs w:val="24"/>
          <w:u w:val="single"/>
        </w:rPr>
        <w:t>Доходные группы</w:t>
      </w:r>
    </w:p>
    <w:p w:rsidR="00F827A9" w:rsidRPr="00F827A9" w:rsidRDefault="00F827A9" w:rsidP="00F827A9"/>
    <w:p w:rsidR="00F827A9" w:rsidRPr="00F827A9" w:rsidRDefault="00F827A9" w:rsidP="00F827A9">
      <w:r w:rsidRPr="00F827A9">
        <w:t xml:space="preserve">Потребители с доходами ниже среднего уровня в </w:t>
      </w:r>
      <w:r w:rsidR="000E2E24">
        <w:t>июл</w:t>
      </w:r>
      <w:r w:rsidRPr="00F827A9">
        <w:t xml:space="preserve">е </w:t>
      </w:r>
      <w:r w:rsidR="000E2E24">
        <w:t>увеличили</w:t>
      </w:r>
      <w:r w:rsidRPr="00F827A9">
        <w:t xml:space="preserve"> свои повседневные расходы по сравнению с </w:t>
      </w:r>
      <w:r w:rsidR="006E7523">
        <w:t>июнем</w:t>
      </w:r>
      <w:r w:rsidRPr="00F827A9">
        <w:t xml:space="preserve"> на </w:t>
      </w:r>
      <w:r w:rsidR="006E7523">
        <w:t>6,5</w:t>
      </w:r>
      <w:r w:rsidRPr="00F827A9">
        <w:t xml:space="preserve">%. А </w:t>
      </w:r>
      <w:r w:rsidR="006E7523">
        <w:t>за год они выросли на 20% в номинальном и на 12% в реальном выражении.</w:t>
      </w:r>
      <w:r w:rsidRPr="00F827A9">
        <w:t xml:space="preserve"> Так что в этой группе никакого сезонного спада </w:t>
      </w:r>
      <w:r w:rsidR="006E7523">
        <w:t xml:space="preserve">вообще </w:t>
      </w:r>
      <w:r w:rsidRPr="00F827A9">
        <w:t xml:space="preserve">не наблюдается. Вне всякого сомнения, в июне </w:t>
      </w:r>
      <w:r w:rsidR="006E7523">
        <w:t xml:space="preserve">и июле </w:t>
      </w:r>
      <w:r w:rsidRPr="00F827A9">
        <w:t>2014-го года именно эта группа потребителей вступила в качестве локомотива роста повседневных потребительских расходов. За пять лет (</w:t>
      </w:r>
      <w:r w:rsidRPr="00F827A9">
        <w:rPr>
          <w:b/>
        </w:rPr>
        <w:t xml:space="preserve">с </w:t>
      </w:r>
      <w:r w:rsidR="006E7523">
        <w:rPr>
          <w:b/>
        </w:rPr>
        <w:t>июл</w:t>
      </w:r>
      <w:r w:rsidRPr="00F827A9">
        <w:rPr>
          <w:b/>
        </w:rPr>
        <w:t>я 2009-го</w:t>
      </w:r>
      <w:r w:rsidRPr="00F827A9">
        <w:t xml:space="preserve">) номинальный рост расходов этой группы составил </w:t>
      </w:r>
      <w:r w:rsidR="006E7523">
        <w:t>96</w:t>
      </w:r>
      <w:r w:rsidRPr="00F827A9">
        <w:t>%</w:t>
      </w:r>
      <w:r w:rsidR="006E7523">
        <w:t xml:space="preserve"> (практически в два раза), реальный – около 3</w:t>
      </w:r>
      <w:r w:rsidRPr="00F827A9">
        <w:t>5%.</w:t>
      </w:r>
    </w:p>
    <w:p w:rsidR="00F827A9" w:rsidRPr="00F827A9" w:rsidRDefault="00F827A9" w:rsidP="00F827A9">
      <w:r w:rsidRPr="00F827A9">
        <w:t xml:space="preserve">У группы семей со средним уровнем доходов повседневные расходы в июне снизились на 4,5% к маю, </w:t>
      </w:r>
      <w:r w:rsidR="006E7523">
        <w:t xml:space="preserve">а в июле </w:t>
      </w:r>
      <w:proofErr w:type="gramStart"/>
      <w:r w:rsidR="006E7523">
        <w:t>–н</w:t>
      </w:r>
      <w:proofErr w:type="gramEnd"/>
      <w:r w:rsidR="006E7523">
        <w:t>а 2% к июню. Нормальный сезонный спад активности.</w:t>
      </w:r>
      <w:r w:rsidRPr="00F827A9">
        <w:t xml:space="preserve"> </w:t>
      </w:r>
      <w:proofErr w:type="gramStart"/>
      <w:r w:rsidRPr="00F827A9">
        <w:t xml:space="preserve">По сравнению с </w:t>
      </w:r>
      <w:r w:rsidR="006E7523">
        <w:t>июл</w:t>
      </w:r>
      <w:r w:rsidRPr="00F827A9">
        <w:t xml:space="preserve">ем 2013-го номинальные расходы </w:t>
      </w:r>
      <w:r w:rsidR="006E7523">
        <w:t xml:space="preserve">у этой группы потребителей снизились на 8%, а реальные – на 15%. </w:t>
      </w:r>
      <w:r w:rsidRPr="00F827A9">
        <w:t xml:space="preserve"> </w:t>
      </w:r>
      <w:r w:rsidRPr="00F827A9">
        <w:lastRenderedPageBreak/>
        <w:t>За пять лет (</w:t>
      </w:r>
      <w:r w:rsidRPr="00F827A9">
        <w:rPr>
          <w:b/>
        </w:rPr>
        <w:t xml:space="preserve">с </w:t>
      </w:r>
      <w:r w:rsidR="006E7523">
        <w:rPr>
          <w:b/>
        </w:rPr>
        <w:t>июл</w:t>
      </w:r>
      <w:r w:rsidRPr="00F827A9">
        <w:rPr>
          <w:b/>
        </w:rPr>
        <w:t>я 2009-го</w:t>
      </w:r>
      <w:r w:rsidRPr="00F827A9">
        <w:t xml:space="preserve">) номинальный рост расходов этой группы составил только </w:t>
      </w:r>
      <w:r w:rsidR="006E7523">
        <w:t>57,5</w:t>
      </w:r>
      <w:r w:rsidRPr="00F827A9">
        <w:t xml:space="preserve">%, реальный – </w:t>
      </w:r>
      <w:r w:rsidR="006E7523">
        <w:t>8,5%</w:t>
      </w:r>
      <w:r w:rsidRPr="00F827A9">
        <w:t>. Отставание темпа роста повседневных расходов «среднего класса» от темпа роста расходов менее обеспеченных групп населения является косвенным свидетельством более медленного темпа роста номинальных доходов этой группы</w:t>
      </w:r>
      <w:proofErr w:type="gramEnd"/>
      <w:r w:rsidRPr="00F827A9">
        <w:t xml:space="preserve"> </w:t>
      </w:r>
      <w:proofErr w:type="gramStart"/>
      <w:r w:rsidRPr="00F827A9">
        <w:t>населения</w:t>
      </w:r>
      <w:proofErr w:type="gramEnd"/>
      <w:r w:rsidRPr="00F827A9">
        <w:t>. И одним из основных, на наш взгляд, источником недовольства социальной и экономической политикой, которое проявляет часть представителей этой социальной группы.</w:t>
      </w:r>
      <w:r w:rsidR="006E7523">
        <w:t xml:space="preserve"> О чем мы неоднократно писали ранее.</w:t>
      </w:r>
    </w:p>
    <w:p w:rsidR="00F827A9" w:rsidRPr="00F827A9" w:rsidRDefault="006E7523" w:rsidP="00F827A9">
      <w:r>
        <w:t xml:space="preserve">В прошлом обзоре мы писали, что у </w:t>
      </w:r>
      <w:r w:rsidR="00F827A9" w:rsidRPr="00F827A9">
        <w:t xml:space="preserve">потребителей с доходами выше среднего уровня, повседневные расходы в июне снизились сразу на 10% по сравнению с майским значением; на 7% к апрелю и на 14% к марту. Вот в этой группе сезонный спад проявился в полной мере. </w:t>
      </w:r>
      <w:r>
        <w:t>Однако</w:t>
      </w:r>
      <w:proofErr w:type="gramStart"/>
      <w:r>
        <w:t>,</w:t>
      </w:r>
      <w:proofErr w:type="gramEnd"/>
      <w:r>
        <w:t xml:space="preserve"> в июле расходы этой группы потребителей выросли сразу на 6,5% по сравнению с июнем. Это весьма необычно. </w:t>
      </w:r>
      <w:r w:rsidR="00F95AD8">
        <w:t xml:space="preserve">В предыдущие годы в этот период обеспеченные горожане массово отправлялись в отпуска, уезжали из городов и </w:t>
      </w:r>
      <w:proofErr w:type="spellStart"/>
      <w:r w:rsidR="00F95AD8">
        <w:t>поседневное</w:t>
      </w:r>
      <w:proofErr w:type="spellEnd"/>
      <w:r w:rsidR="00F95AD8">
        <w:t xml:space="preserve"> потребление снижалось. Создается впечатление, что часть представителей группы уже отгуляли свои отпуска в мае – июне, а другая часть массово перенесла их на август (посмотрим через месяц). По сравнению с июл</w:t>
      </w:r>
      <w:r w:rsidR="00F827A9" w:rsidRPr="00F827A9">
        <w:t xml:space="preserve">ем прошлого года номинальные повседневные расходы у этой группы потребителей </w:t>
      </w:r>
      <w:r w:rsidR="00F95AD8">
        <w:t xml:space="preserve">выросли на 8%, а реальные практически </w:t>
      </w:r>
      <w:r w:rsidR="00F827A9" w:rsidRPr="00F827A9">
        <w:t>не изменились. За пять лет (</w:t>
      </w:r>
      <w:r w:rsidR="00F827A9" w:rsidRPr="00F827A9">
        <w:rPr>
          <w:b/>
        </w:rPr>
        <w:t xml:space="preserve">с </w:t>
      </w:r>
      <w:r w:rsidR="00F95AD8">
        <w:rPr>
          <w:b/>
        </w:rPr>
        <w:t>июл</w:t>
      </w:r>
      <w:r w:rsidR="00F827A9" w:rsidRPr="00F827A9">
        <w:rPr>
          <w:b/>
        </w:rPr>
        <w:t>я 2009-го</w:t>
      </w:r>
      <w:r w:rsidR="00F827A9" w:rsidRPr="00F827A9">
        <w:t xml:space="preserve">) номинальный рост расходов этой группы составил только </w:t>
      </w:r>
      <w:r w:rsidR="00F95AD8">
        <w:t>76</w:t>
      </w:r>
      <w:r w:rsidR="00F827A9" w:rsidRPr="00F827A9">
        <w:t>%</w:t>
      </w:r>
      <w:r w:rsidR="00F95AD8">
        <w:t>, реальный – 21,5%. В июне показатели были куда скромнее. Номинальный рост – около 45%</w:t>
      </w:r>
      <w:r w:rsidR="00F827A9" w:rsidRPr="00F827A9">
        <w:t xml:space="preserve"> - т.е. на уровне официальной потребительской инфляции. </w:t>
      </w:r>
      <w:r w:rsidR="00F95AD8">
        <w:t>Аномальный рост расходов обеспеченных потребителей в июле существенно улучшил и многолетнюю картину динамики этого показатели в этой группе.</w:t>
      </w:r>
    </w:p>
    <w:p w:rsidR="00F827A9" w:rsidRPr="00F827A9" w:rsidRDefault="00F827A9" w:rsidP="00F827A9">
      <w:pPr>
        <w:rPr>
          <w:b/>
          <w:u w:val="single"/>
        </w:rPr>
      </w:pPr>
    </w:p>
    <w:p w:rsidR="00F827A9" w:rsidRPr="00F95AD8" w:rsidRDefault="00F827A9" w:rsidP="00F827A9">
      <w:pPr>
        <w:rPr>
          <w:b/>
          <w:sz w:val="24"/>
          <w:szCs w:val="24"/>
          <w:u w:val="single"/>
        </w:rPr>
      </w:pPr>
      <w:r w:rsidRPr="00F95AD8">
        <w:rPr>
          <w:b/>
          <w:sz w:val="24"/>
          <w:szCs w:val="24"/>
          <w:u w:val="single"/>
        </w:rPr>
        <w:t>Средний чек</w:t>
      </w:r>
    </w:p>
    <w:p w:rsidR="00F827A9" w:rsidRPr="00F827A9" w:rsidRDefault="00F827A9" w:rsidP="00F827A9">
      <w:r w:rsidRPr="00F827A9">
        <w:t xml:space="preserve">Показатель среднего чека в мае неожиданно вырос сразу на 5,66% по сравнению с апрелем. Его абсолютное значение 224 пункта (за 100 принято значение января 2008-го года) оказалось третьим по величине за весь период наблюдений, после показателей декабря 2013-го и декабря 2012-го гг. В июне он снизился на 1% против майских значений. </w:t>
      </w:r>
      <w:r w:rsidR="003115BB">
        <w:t>В юле – не изменился.</w:t>
      </w:r>
    </w:p>
    <w:p w:rsidR="00F827A9" w:rsidRPr="00F827A9" w:rsidRDefault="00F827A9" w:rsidP="00F827A9">
      <w:r w:rsidRPr="00F827A9">
        <w:t xml:space="preserve">По сравнению с </w:t>
      </w:r>
      <w:r w:rsidR="003115BB">
        <w:t>июл</w:t>
      </w:r>
      <w:r w:rsidRPr="00F827A9">
        <w:t xml:space="preserve">ем 2013-го года средний чек в </w:t>
      </w:r>
      <w:r w:rsidR="003115BB">
        <w:t>июл</w:t>
      </w:r>
      <w:r w:rsidRPr="00F827A9">
        <w:t xml:space="preserve">е 2014-го вырос </w:t>
      </w:r>
      <w:r w:rsidR="003115BB">
        <w:t>на 5,7% (</w:t>
      </w:r>
      <w:r w:rsidRPr="00F827A9">
        <w:t xml:space="preserve">в мае </w:t>
      </w:r>
      <w:r w:rsidR="003115BB">
        <w:t xml:space="preserve">и июне </w:t>
      </w:r>
      <w:r w:rsidRPr="00F827A9">
        <w:t>был рост на 11,5%</w:t>
      </w:r>
      <w:r w:rsidR="003115BB">
        <w:t xml:space="preserve"> и 9,5%</w:t>
      </w:r>
      <w:r w:rsidRPr="00F827A9">
        <w:t xml:space="preserve">). Таких высоких темпов роста этого показателя мы не видели уже очень давно. </w:t>
      </w:r>
      <w:proofErr w:type="gramStart"/>
      <w:r w:rsidRPr="00F827A9">
        <w:t>За пять лет (</w:t>
      </w:r>
      <w:r w:rsidRPr="00F827A9">
        <w:rPr>
          <w:b/>
        </w:rPr>
        <w:t xml:space="preserve">с </w:t>
      </w:r>
      <w:r w:rsidR="00926352">
        <w:rPr>
          <w:b/>
        </w:rPr>
        <w:t>июл</w:t>
      </w:r>
      <w:r w:rsidRPr="00F827A9">
        <w:rPr>
          <w:b/>
        </w:rPr>
        <w:t>я 2009-го</w:t>
      </w:r>
      <w:r w:rsidRPr="00F827A9">
        <w:t>) средний чек вырос только на 48%, обогнав показатель инфляции за этот период на символические 2%. А в апреле пятилетний рост среднего чека вообще совпал с показателем пятилетней инфляции.</w:t>
      </w:r>
      <w:proofErr w:type="gramEnd"/>
    </w:p>
    <w:p w:rsidR="00F827A9" w:rsidRPr="00F827A9" w:rsidRDefault="00F827A9" w:rsidP="00F827A9">
      <w:r w:rsidRPr="00F827A9">
        <w:t xml:space="preserve">В Москве средний чек в </w:t>
      </w:r>
      <w:r w:rsidR="00926352">
        <w:t>июл</w:t>
      </w:r>
      <w:r w:rsidRPr="00F827A9">
        <w:t xml:space="preserve">е </w:t>
      </w:r>
      <w:r w:rsidR="00926352">
        <w:t>снизился</w:t>
      </w:r>
      <w:r w:rsidRPr="00F827A9">
        <w:t xml:space="preserve"> на </w:t>
      </w:r>
      <w:r w:rsidR="00926352">
        <w:t>2</w:t>
      </w:r>
      <w:r w:rsidRPr="00F827A9">
        <w:t xml:space="preserve">% по сравнению с </w:t>
      </w:r>
      <w:r w:rsidR="00926352">
        <w:t>июнем</w:t>
      </w:r>
      <w:r w:rsidRPr="00F827A9">
        <w:t xml:space="preserve">. И </w:t>
      </w:r>
      <w:r w:rsidR="00926352">
        <w:t xml:space="preserve">вырос </w:t>
      </w:r>
      <w:r w:rsidRPr="00F827A9">
        <w:t xml:space="preserve">только на 2% по сравнению с </w:t>
      </w:r>
      <w:r w:rsidR="00926352">
        <w:t>июл</w:t>
      </w:r>
      <w:r w:rsidRPr="00F827A9">
        <w:t xml:space="preserve">ем 2013-го года. По большому счету в столице этот показатель остается стабильным на протяжении последних 1,5 лет. Если не считать небольшого сезонного снижения летом </w:t>
      </w:r>
      <w:r w:rsidR="00926352">
        <w:t xml:space="preserve">(этим летом – практически незаметного) </w:t>
      </w:r>
      <w:r w:rsidRPr="00F827A9">
        <w:t>и традиционного декабрьского пика. За пять лет (</w:t>
      </w:r>
      <w:r w:rsidRPr="00F827A9">
        <w:rPr>
          <w:b/>
        </w:rPr>
        <w:t xml:space="preserve">с </w:t>
      </w:r>
      <w:r w:rsidR="00926352">
        <w:rPr>
          <w:b/>
        </w:rPr>
        <w:t>июл</w:t>
      </w:r>
      <w:r w:rsidRPr="00F827A9">
        <w:rPr>
          <w:b/>
        </w:rPr>
        <w:t>я 2009-го</w:t>
      </w:r>
      <w:r w:rsidRPr="00F827A9">
        <w:t xml:space="preserve">) средний чек в столице вырос </w:t>
      </w:r>
      <w:r w:rsidR="00926352">
        <w:t xml:space="preserve">ровно </w:t>
      </w:r>
      <w:r w:rsidRPr="00F827A9">
        <w:t>на 5</w:t>
      </w:r>
      <w:r w:rsidR="00926352">
        <w:t>0</w:t>
      </w:r>
      <w:r w:rsidRPr="00F827A9">
        <w:t xml:space="preserve">%. Т.е. – на </w:t>
      </w:r>
      <w:r w:rsidR="00926352">
        <w:t>3% выше</w:t>
      </w:r>
      <w:r w:rsidRPr="00F827A9">
        <w:t xml:space="preserve"> инфляции.</w:t>
      </w:r>
      <w:r w:rsidR="00926352">
        <w:t xml:space="preserve"> Притом, что в июле 2009-го наблюдался четко выраженный сезонный спад показателя.</w:t>
      </w:r>
    </w:p>
    <w:p w:rsidR="00F827A9" w:rsidRPr="00F827A9" w:rsidRDefault="00F827A9" w:rsidP="00F827A9">
      <w:r w:rsidRPr="00F827A9">
        <w:t xml:space="preserve">В городах с населением 1 – 1,5 миллиона жителей в </w:t>
      </w:r>
      <w:r w:rsidR="00926352">
        <w:t>июле средний чек также не изменился к июню. А вот по сравнению с июл</w:t>
      </w:r>
      <w:r w:rsidRPr="00F827A9">
        <w:t xml:space="preserve">ем прошлого года он вырос на </w:t>
      </w:r>
      <w:r w:rsidR="00926352">
        <w:t>7,7</w:t>
      </w:r>
      <w:r w:rsidRPr="00F827A9">
        <w:t>%. За пять лет (</w:t>
      </w:r>
      <w:r w:rsidRPr="00F827A9">
        <w:rPr>
          <w:b/>
        </w:rPr>
        <w:t xml:space="preserve">с </w:t>
      </w:r>
      <w:r w:rsidR="00926352">
        <w:rPr>
          <w:b/>
        </w:rPr>
        <w:t>июл</w:t>
      </w:r>
      <w:r w:rsidRPr="00F827A9">
        <w:rPr>
          <w:b/>
        </w:rPr>
        <w:t>я 2009-го</w:t>
      </w:r>
      <w:r w:rsidRPr="00F827A9">
        <w:t xml:space="preserve">) рост показателя в </w:t>
      </w:r>
      <w:proofErr w:type="spellStart"/>
      <w:r w:rsidRPr="00F827A9">
        <w:t>миллионниках</w:t>
      </w:r>
      <w:proofErr w:type="spellEnd"/>
      <w:r w:rsidRPr="00F827A9">
        <w:t xml:space="preserve"> составил  45%</w:t>
      </w:r>
      <w:r w:rsidR="00926352">
        <w:t xml:space="preserve"> - вровень с инфляцией</w:t>
      </w:r>
      <w:r w:rsidRPr="00F827A9">
        <w:t>.</w:t>
      </w:r>
    </w:p>
    <w:p w:rsidR="00926352" w:rsidRDefault="00926352" w:rsidP="00F827A9"/>
    <w:p w:rsidR="00F827A9" w:rsidRPr="00F827A9" w:rsidRDefault="00F827A9" w:rsidP="00F827A9">
      <w:r w:rsidRPr="00F827A9">
        <w:lastRenderedPageBreak/>
        <w:t xml:space="preserve">В городах с населением 500 – 800 тысяч жителей в </w:t>
      </w:r>
      <w:r w:rsidR="00926352">
        <w:t>июле</w:t>
      </w:r>
      <w:r w:rsidRPr="00F827A9">
        <w:t xml:space="preserve"> 2014-го средний чек </w:t>
      </w:r>
      <w:r w:rsidR="008E0071">
        <w:t>также не изменился к июню</w:t>
      </w:r>
      <w:r w:rsidRPr="00F827A9">
        <w:t xml:space="preserve">. </w:t>
      </w:r>
      <w:r w:rsidR="008E0071">
        <w:t>По сравнению с июлем 2013-го рост составил 4</w:t>
      </w:r>
      <w:r w:rsidRPr="00F827A9">
        <w:t>%. За пять лет (</w:t>
      </w:r>
      <w:r w:rsidRPr="00F827A9">
        <w:rPr>
          <w:b/>
        </w:rPr>
        <w:t xml:space="preserve">с </w:t>
      </w:r>
      <w:r w:rsidR="008E0071">
        <w:rPr>
          <w:b/>
        </w:rPr>
        <w:t>июл</w:t>
      </w:r>
      <w:r w:rsidRPr="00F827A9">
        <w:rPr>
          <w:b/>
        </w:rPr>
        <w:t>я 2009-го</w:t>
      </w:r>
      <w:r w:rsidRPr="00F827A9">
        <w:t>) рост показателя в «</w:t>
      </w:r>
      <w:proofErr w:type="gramStart"/>
      <w:r w:rsidRPr="00F827A9">
        <w:t>пятисот-тысячниках</w:t>
      </w:r>
      <w:proofErr w:type="gramEnd"/>
      <w:r w:rsidRPr="00F827A9">
        <w:t>» составил 5</w:t>
      </w:r>
      <w:r w:rsidR="008E0071">
        <w:t>1</w:t>
      </w:r>
      <w:r w:rsidRPr="00F827A9">
        <w:t>%.</w:t>
      </w:r>
    </w:p>
    <w:p w:rsidR="00F827A9" w:rsidRPr="00F827A9" w:rsidRDefault="00F827A9" w:rsidP="00F827A9">
      <w:r w:rsidRPr="00F827A9">
        <w:t xml:space="preserve">По типам торговых точек в </w:t>
      </w:r>
      <w:r w:rsidR="008E0071">
        <w:t>июл</w:t>
      </w:r>
      <w:r w:rsidRPr="00F827A9">
        <w:t xml:space="preserve">е 2014-го по сравнению с </w:t>
      </w:r>
      <w:r w:rsidR="008E0071">
        <w:t>июнем</w:t>
      </w:r>
      <w:r w:rsidRPr="00F827A9">
        <w:t xml:space="preserve"> изменения показателя среднего чека были </w:t>
      </w:r>
      <w:r w:rsidR="008E0071">
        <w:t xml:space="preserve">небольшими и </w:t>
      </w:r>
      <w:r w:rsidRPr="00F827A9">
        <w:t>весьма разноплановыми. В гипермаркетах</w:t>
      </w:r>
      <w:r w:rsidR="008E0071">
        <w:t xml:space="preserve"> – стабильный показатель. В супермаркетах – рост на 1%.В</w:t>
      </w:r>
      <w:r w:rsidRPr="00F827A9">
        <w:t xml:space="preserve"> магазинах, торгующих через прилавок </w:t>
      </w:r>
      <w:r w:rsidR="008E0071">
        <w:t xml:space="preserve">– рост на 2%. В </w:t>
      </w:r>
      <w:proofErr w:type="spellStart"/>
      <w:r w:rsidR="008E0071">
        <w:t>дискаунтерах</w:t>
      </w:r>
      <w:proofErr w:type="spellEnd"/>
      <w:r w:rsidR="008E0071">
        <w:t xml:space="preserve"> – снижение на 5%.</w:t>
      </w:r>
      <w:r w:rsidRPr="00F827A9">
        <w:t xml:space="preserve">. </w:t>
      </w:r>
    </w:p>
    <w:p w:rsidR="00F827A9" w:rsidRPr="00F827A9" w:rsidRDefault="00F827A9" w:rsidP="00F827A9">
      <w:r w:rsidRPr="00F827A9">
        <w:t>За год (</w:t>
      </w:r>
      <w:r w:rsidRPr="00F827A9">
        <w:rPr>
          <w:b/>
        </w:rPr>
        <w:t xml:space="preserve">с </w:t>
      </w:r>
      <w:r w:rsidR="008E0071">
        <w:rPr>
          <w:b/>
        </w:rPr>
        <w:t>июл</w:t>
      </w:r>
      <w:r w:rsidRPr="00F827A9">
        <w:rPr>
          <w:b/>
        </w:rPr>
        <w:t>я 2013-го</w:t>
      </w:r>
      <w:r w:rsidRPr="00F827A9">
        <w:t xml:space="preserve">) средний чек в гипермаркетах снизился на </w:t>
      </w:r>
      <w:r w:rsidR="008E0071">
        <w:t>2,5</w:t>
      </w:r>
      <w:r w:rsidRPr="00F827A9">
        <w:t>%</w:t>
      </w:r>
      <w:r w:rsidR="008E0071">
        <w:t>. В супермаркетах – вырос на 6,5</w:t>
      </w:r>
      <w:r w:rsidRPr="00F827A9">
        <w:t>%. В магазинах, торгующих через прилавок – вырос на 1</w:t>
      </w:r>
      <w:r w:rsidR="008E0071">
        <w:t>5</w:t>
      </w:r>
      <w:r w:rsidRPr="00F827A9">
        <w:t xml:space="preserve">%, а в </w:t>
      </w:r>
      <w:proofErr w:type="spellStart"/>
      <w:r w:rsidRPr="00F827A9">
        <w:t>дискаунтерах</w:t>
      </w:r>
      <w:proofErr w:type="spellEnd"/>
      <w:r w:rsidRPr="00F827A9">
        <w:t xml:space="preserve"> – вырос </w:t>
      </w:r>
      <w:r w:rsidR="008E0071">
        <w:t>на 18</w:t>
      </w:r>
      <w:r w:rsidRPr="00F827A9">
        <w:t xml:space="preserve">%. </w:t>
      </w:r>
    </w:p>
    <w:p w:rsidR="00F827A9" w:rsidRPr="00F827A9" w:rsidRDefault="00F827A9" w:rsidP="00F827A9">
      <w:r w:rsidRPr="00F827A9">
        <w:t>За пять лет (</w:t>
      </w:r>
      <w:r w:rsidRPr="00F827A9">
        <w:rPr>
          <w:b/>
        </w:rPr>
        <w:t xml:space="preserve">с </w:t>
      </w:r>
      <w:r w:rsidR="008E0071">
        <w:rPr>
          <w:b/>
        </w:rPr>
        <w:t>июл</w:t>
      </w:r>
      <w:r w:rsidRPr="00F827A9">
        <w:rPr>
          <w:b/>
        </w:rPr>
        <w:t>я 2009-го</w:t>
      </w:r>
      <w:r w:rsidRPr="00F827A9">
        <w:t>) средний чек вырос в гипермаркетах на 2</w:t>
      </w:r>
      <w:r w:rsidR="008E0071">
        <w:t>0</w:t>
      </w:r>
      <w:r w:rsidRPr="00F827A9">
        <w:t xml:space="preserve">%. </w:t>
      </w:r>
      <w:r w:rsidR="008E0071">
        <w:t>Правда, надо заметить, что в июле 2009-го в магазинах этого формата наблюдался очень сильный</w:t>
      </w:r>
      <w:r w:rsidR="002D1A61">
        <w:t xml:space="preserve"> </w:t>
      </w:r>
      <w:r w:rsidR="008E0071">
        <w:t xml:space="preserve">сезонный спад. </w:t>
      </w:r>
      <w:r w:rsidRPr="00F827A9">
        <w:t xml:space="preserve">В супермаркетах </w:t>
      </w:r>
      <w:r w:rsidR="002D1A61">
        <w:t>рост составил 41%, в</w:t>
      </w:r>
      <w:r w:rsidRPr="00F827A9">
        <w:t xml:space="preserve"> </w:t>
      </w:r>
      <w:proofErr w:type="spellStart"/>
      <w:r w:rsidRPr="00F827A9">
        <w:t>дискаунтерах</w:t>
      </w:r>
      <w:proofErr w:type="spellEnd"/>
      <w:r w:rsidRPr="00F827A9">
        <w:t xml:space="preserve"> </w:t>
      </w:r>
      <w:r w:rsidR="002D1A61">
        <w:t>-</w:t>
      </w:r>
      <w:r w:rsidRPr="00F827A9">
        <w:t xml:space="preserve"> </w:t>
      </w:r>
      <w:r w:rsidR="002D1A61">
        <w:t>38</w:t>
      </w:r>
      <w:r w:rsidRPr="00F827A9">
        <w:t xml:space="preserve">% за пять лет. А в магазинах, торгующих через прилавок, средний чек вырос за пять лет на </w:t>
      </w:r>
      <w:r w:rsidR="002D1A61">
        <w:t>57%</w:t>
      </w:r>
      <w:r w:rsidRPr="00F827A9">
        <w:t>.</w:t>
      </w:r>
      <w:r w:rsidR="002D1A61">
        <w:t xml:space="preserve"> И это при том, что в июле 2009-го в магазинах этого формата наблюдался малообъяснимый рост (всплеск) показателя среднего чека. </w:t>
      </w:r>
      <w:proofErr w:type="gramStart"/>
      <w:r w:rsidR="002D1A61">
        <w:t>Возможно</w:t>
      </w:r>
      <w:proofErr w:type="gramEnd"/>
      <w:r w:rsidR="002D1A61">
        <w:t xml:space="preserve"> это было отражением </w:t>
      </w:r>
      <w:proofErr w:type="spellStart"/>
      <w:r w:rsidR="002D1A61">
        <w:t>перетока</w:t>
      </w:r>
      <w:proofErr w:type="spellEnd"/>
      <w:r w:rsidR="002D1A61">
        <w:t xml:space="preserve"> части покупателей из гипермаркетов.</w:t>
      </w:r>
      <w:r w:rsidRPr="00F827A9">
        <w:t xml:space="preserve"> </w:t>
      </w:r>
      <w:r w:rsidR="002D1A61">
        <w:t xml:space="preserve">Но далее подобных феноменов уже не наблюдалось. В июне 2014-го средний чек в </w:t>
      </w:r>
      <w:proofErr w:type="gramStart"/>
      <w:r w:rsidR="002D1A61">
        <w:t>магазинах</w:t>
      </w:r>
      <w:proofErr w:type="gramEnd"/>
      <w:r w:rsidR="002D1A61">
        <w:t xml:space="preserve"> торгующих через прила</w:t>
      </w:r>
      <w:bookmarkStart w:id="0" w:name="_GoBack"/>
      <w:bookmarkEnd w:id="0"/>
      <w:r w:rsidR="002D1A61">
        <w:t>вок демонстрировал двукратный рост за пятилетку.</w:t>
      </w:r>
    </w:p>
    <w:p w:rsidR="00F827A9" w:rsidRPr="00F827A9" w:rsidRDefault="00F827A9" w:rsidP="00F827A9">
      <w:r w:rsidRPr="00F827A9">
        <w:t>Низкие темпы роста показателя среднего чека в гипермаркетах свидетельствуют о том, что покупатели стали ходить туда чаще, но стараются ограничить объем разовой покупки. Высокие темпы роста среднего чека в магазинах, торгующих через прилавок, говорят о том, что в этой группе прибавилось «фирменных» точек производителей премиальных мясных и молочных продуктов.</w:t>
      </w:r>
    </w:p>
    <w:p w:rsidR="00F827A9" w:rsidRPr="00F827A9" w:rsidRDefault="00F827A9" w:rsidP="00F827A9">
      <w:pPr>
        <w:rPr>
          <w:b/>
        </w:rPr>
      </w:pPr>
      <w:r w:rsidRPr="00F827A9">
        <w:t>С</w:t>
      </w:r>
      <w:r w:rsidRPr="00F827A9">
        <w:rPr>
          <w:b/>
        </w:rPr>
        <w:t xml:space="preserve">ПРАВКА: </w:t>
      </w:r>
    </w:p>
    <w:p w:rsidR="00F827A9" w:rsidRPr="00F827A9" w:rsidRDefault="00F827A9" w:rsidP="00F827A9">
      <w:r w:rsidRPr="00F827A9">
        <w:t xml:space="preserve">Исследовательский холдинг </w:t>
      </w:r>
      <w:proofErr w:type="spellStart"/>
      <w:r w:rsidRPr="00F827A9">
        <w:t>Ромир</w:t>
      </w:r>
      <w:proofErr w:type="spellEnd"/>
      <w:r w:rsidRPr="00F827A9">
        <w:t xml:space="preserve"> разработал новый инструмент измерения потребительской активности – </w:t>
      </w:r>
      <w:r w:rsidRPr="00F827A9">
        <w:rPr>
          <w:i/>
        </w:rPr>
        <w:t>«</w:t>
      </w:r>
      <w:proofErr w:type="spellStart"/>
      <w:r w:rsidRPr="00F827A9">
        <w:rPr>
          <w:i/>
        </w:rPr>
        <w:t>Ромир</w:t>
      </w:r>
      <w:proofErr w:type="spellEnd"/>
      <w:r w:rsidRPr="00F827A9">
        <w:rPr>
          <w:i/>
        </w:rPr>
        <w:t xml:space="preserve"> - индексы покупательской активности»</w:t>
      </w:r>
      <w:r w:rsidRPr="00F827A9">
        <w:t>, рассчитываемые на основе панели из 3600 домохозяйств, оснащенных сканерами штрих кодов.</w:t>
      </w:r>
    </w:p>
    <w:p w:rsidR="00F827A9" w:rsidRPr="00F827A9" w:rsidRDefault="00F827A9" w:rsidP="00F827A9">
      <w:r w:rsidRPr="00F827A9">
        <w:rPr>
          <w:i/>
        </w:rPr>
        <w:t>«</w:t>
      </w:r>
      <w:proofErr w:type="spellStart"/>
      <w:r w:rsidRPr="00F827A9">
        <w:rPr>
          <w:i/>
        </w:rPr>
        <w:t>Ромир</w:t>
      </w:r>
      <w:proofErr w:type="spellEnd"/>
      <w:r w:rsidRPr="00F827A9">
        <w:rPr>
          <w:i/>
        </w:rPr>
        <w:t xml:space="preserve"> - индексы покупательской активности»</w:t>
      </w:r>
      <w:r w:rsidRPr="00F827A9">
        <w:t xml:space="preserve"> отражают динамику потребления товаров повседневного спроса и цен на них, качественный и количественный состав потребительской корзины, изменения в предпочтениях в отношении мест покупок жителей российских городов.</w:t>
      </w:r>
    </w:p>
    <w:p w:rsidR="00F827A9" w:rsidRPr="00F827A9" w:rsidRDefault="00F827A9" w:rsidP="00F827A9">
      <w:r w:rsidRPr="00F827A9">
        <w:t xml:space="preserve">Базой для расчета индексов являются ежедневно обновляемые, верифицированные данные по покупкам более 100 категорий продовольственных и непродовольственных товаров в городах России с населением 100 000 жителей и более (технология сканирования штрих кодов).  </w:t>
      </w:r>
    </w:p>
    <w:p w:rsidR="00F827A9" w:rsidRPr="00F827A9" w:rsidRDefault="00F827A9" w:rsidP="00F827A9"/>
    <w:p w:rsidR="000A3F85" w:rsidRDefault="000A3F85"/>
    <w:sectPr w:rsidR="000A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2A"/>
    <w:rsid w:val="000A3F85"/>
    <w:rsid w:val="000E2E24"/>
    <w:rsid w:val="000E7F89"/>
    <w:rsid w:val="0024312A"/>
    <w:rsid w:val="002943D2"/>
    <w:rsid w:val="002D1A61"/>
    <w:rsid w:val="003115BB"/>
    <w:rsid w:val="003D5EDA"/>
    <w:rsid w:val="006E7523"/>
    <w:rsid w:val="006F05C6"/>
    <w:rsid w:val="00713B72"/>
    <w:rsid w:val="00723135"/>
    <w:rsid w:val="0083227B"/>
    <w:rsid w:val="008E0071"/>
    <w:rsid w:val="00926352"/>
    <w:rsid w:val="009419FF"/>
    <w:rsid w:val="00A941E2"/>
    <w:rsid w:val="00CF329E"/>
    <w:rsid w:val="00D329F6"/>
    <w:rsid w:val="00E82013"/>
    <w:rsid w:val="00F827A9"/>
    <w:rsid w:val="00F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к декабрю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Москва</c:v>
                </c:pt>
                <c:pt idx="1">
                  <c:v>Петербург</c:v>
                </c:pt>
                <c:pt idx="2">
                  <c:v>1 - 1,5</c:v>
                </c:pt>
                <c:pt idx="3">
                  <c:v>500+</c:v>
                </c:pt>
                <c:pt idx="4">
                  <c:v>100+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-27</c:v>
                </c:pt>
                <c:pt idx="1">
                  <c:v>-19</c:v>
                </c:pt>
                <c:pt idx="2">
                  <c:v>-18</c:v>
                </c:pt>
                <c:pt idx="3">
                  <c:v>-20.5</c:v>
                </c:pt>
                <c:pt idx="4">
                  <c:v>-9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к январю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Москва</c:v>
                </c:pt>
                <c:pt idx="1">
                  <c:v>Петербург</c:v>
                </c:pt>
                <c:pt idx="2">
                  <c:v>1 - 1,5</c:v>
                </c:pt>
                <c:pt idx="3">
                  <c:v>500+</c:v>
                </c:pt>
                <c:pt idx="4">
                  <c:v>100+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8.5</c:v>
                </c:pt>
                <c:pt idx="1">
                  <c:v>-8.5</c:v>
                </c:pt>
                <c:pt idx="2">
                  <c:v>-1.5</c:v>
                </c:pt>
                <c:pt idx="3">
                  <c:v>7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к февралю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Москва</c:v>
                </c:pt>
                <c:pt idx="1">
                  <c:v>Петербург</c:v>
                </c:pt>
                <c:pt idx="2">
                  <c:v>1 - 1,5</c:v>
                </c:pt>
                <c:pt idx="3">
                  <c:v>500+</c:v>
                </c:pt>
                <c:pt idx="4">
                  <c:v>100+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13</c:v>
                </c:pt>
                <c:pt idx="1">
                  <c:v>11</c:v>
                </c:pt>
                <c:pt idx="2">
                  <c:v>8</c:v>
                </c:pt>
                <c:pt idx="3">
                  <c:v>7</c:v>
                </c:pt>
                <c:pt idx="4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апрель к марту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Москва</c:v>
                </c:pt>
                <c:pt idx="1">
                  <c:v>Петербург</c:v>
                </c:pt>
                <c:pt idx="2">
                  <c:v>1 - 1,5</c:v>
                </c:pt>
                <c:pt idx="3">
                  <c:v>500+</c:v>
                </c:pt>
                <c:pt idx="4">
                  <c:v>100+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-7</c:v>
                </c:pt>
                <c:pt idx="1">
                  <c:v>-5</c:v>
                </c:pt>
                <c:pt idx="2">
                  <c:v>-6</c:v>
                </c:pt>
                <c:pt idx="3">
                  <c:v>-8</c:v>
                </c:pt>
                <c:pt idx="4">
                  <c:v>-10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май к апрелю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Москва</c:v>
                </c:pt>
                <c:pt idx="1">
                  <c:v>Петербург</c:v>
                </c:pt>
                <c:pt idx="2">
                  <c:v>1 - 1,5</c:v>
                </c:pt>
                <c:pt idx="3">
                  <c:v>500+</c:v>
                </c:pt>
                <c:pt idx="4">
                  <c:v>100+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-2</c:v>
                </c:pt>
                <c:pt idx="1">
                  <c:v>1</c:v>
                </c:pt>
                <c:pt idx="2">
                  <c:v>8</c:v>
                </c:pt>
                <c:pt idx="3">
                  <c:v>9</c:v>
                </c:pt>
                <c:pt idx="4">
                  <c:v>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июнь к маю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Москва</c:v>
                </c:pt>
                <c:pt idx="1">
                  <c:v>Петербург</c:v>
                </c:pt>
                <c:pt idx="2">
                  <c:v>1 - 1,5</c:v>
                </c:pt>
                <c:pt idx="3">
                  <c:v>500+</c:v>
                </c:pt>
                <c:pt idx="4">
                  <c:v>100+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-9</c:v>
                </c:pt>
                <c:pt idx="1">
                  <c:v>-5</c:v>
                </c:pt>
                <c:pt idx="2">
                  <c:v>-9</c:v>
                </c:pt>
                <c:pt idx="3">
                  <c:v>-2</c:v>
                </c:pt>
                <c:pt idx="4">
                  <c:v>-4.5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июль к июню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Москва</c:v>
                </c:pt>
                <c:pt idx="1">
                  <c:v>Петербург</c:v>
                </c:pt>
                <c:pt idx="2">
                  <c:v>1 - 1,5</c:v>
                </c:pt>
                <c:pt idx="3">
                  <c:v>500+</c:v>
                </c:pt>
                <c:pt idx="4">
                  <c:v>100+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11</c:v>
                </c:pt>
                <c:pt idx="1">
                  <c:v>7.5</c:v>
                </c:pt>
                <c:pt idx="2">
                  <c:v>2</c:v>
                </c:pt>
                <c:pt idx="3">
                  <c:v>-1.5</c:v>
                </c:pt>
                <c:pt idx="4">
                  <c:v>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616448"/>
        <c:axId val="109101056"/>
      </c:barChart>
      <c:catAx>
        <c:axId val="96616448"/>
        <c:scaling>
          <c:orientation val="minMax"/>
        </c:scaling>
        <c:delete val="0"/>
        <c:axPos val="b"/>
        <c:majorTickMark val="out"/>
        <c:minorTickMark val="none"/>
        <c:tickLblPos val="nextTo"/>
        <c:crossAx val="109101056"/>
        <c:crosses val="autoZero"/>
        <c:auto val="1"/>
        <c:lblAlgn val="ctr"/>
        <c:lblOffset val="100"/>
        <c:noMultiLvlLbl val="0"/>
      </c:catAx>
      <c:valAx>
        <c:axId val="109101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616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10</cp:revision>
  <dcterms:created xsi:type="dcterms:W3CDTF">2014-08-07T15:12:00Z</dcterms:created>
  <dcterms:modified xsi:type="dcterms:W3CDTF">2014-08-07T17:19:00Z</dcterms:modified>
</cp:coreProperties>
</file>