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7" w:rsidRDefault="00CD3867" w:rsidP="004D756B">
      <w:pPr>
        <w:pStyle w:val="a6"/>
        <w:shd w:val="clear" w:color="auto" w:fill="FFFFFF"/>
        <w:jc w:val="center"/>
        <w:rPr>
          <w:rStyle w:val="a7"/>
          <w:rFonts w:ascii="Arial" w:hAnsi="Arial" w:cs="Arial"/>
          <w:i/>
          <w:iCs/>
          <w:color w:val="1E90FF"/>
          <w:sz w:val="28"/>
          <w:szCs w:val="28"/>
        </w:rPr>
      </w:pPr>
      <w:r w:rsidRPr="004D756B">
        <w:rPr>
          <w:rStyle w:val="a7"/>
          <w:rFonts w:ascii="Arial" w:hAnsi="Arial" w:cs="Arial"/>
          <w:i/>
          <w:iCs/>
          <w:color w:val="1E90FF"/>
          <w:sz w:val="28"/>
          <w:szCs w:val="28"/>
        </w:rPr>
        <w:t>Добрый день, уважаемые коллеги!</w:t>
      </w:r>
    </w:p>
    <w:p w:rsidR="006E1EB1" w:rsidRPr="006E1EB1" w:rsidRDefault="006E1EB1" w:rsidP="006E1EB1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>Глава 20</w:t>
      </w:r>
    </w:p>
    <w:p w:rsidR="006E1EB1" w:rsidRPr="006E1EB1" w:rsidRDefault="006E1EB1" w:rsidP="006E1EB1">
      <w:pPr>
        <w:spacing w:before="100" w:beforeAutospacing="1" w:after="180" w:line="270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Стратегия от общего к частному или как с помощью таможенной статистики вычислить перспективную рыночную нишу</w:t>
      </w: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Для многих торговых домов, холдингов и организаций результаты обработки таможенной статистики могут служить настоящим навигатором бизнеса. Нередко у компаний   товарный ассортимент состоит из длинного списка позиций.  Чем больше товаров находится в зоне вашего внимания, тем сложнее определить среди них направление наибольшего спроса. Возьмём для примера спецтехнику. Перед тем, как рассуждать о том, какой дорожный каток будет лучше продаваться, сначала не мешает разобраться, а вообще в какую сторону изменился спрос на технику. От катков к автогрейдерам? Или к погрузчикам? Или к экскаваторам? </w:t>
      </w: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Чтобы </w:t>
      </w:r>
      <w:proofErr w:type="gramStart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помогать участникам ВЭД определяться</w:t>
      </w:r>
      <w:proofErr w:type="gramEnd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 общими тенденциями, маркетинговые компании создают отраслевые бюллетени. В них они делают общее сравнение  разных товарных направлений: как растут или падают их объёмы, темпы. Приведём пример с той же спецтехникой. По этой теме, наряду с другими, мы ежеквартально готовим бюллетени.  </w:t>
      </w: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Так, например, из бюллетеня за 4-й квартал 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2012 года можно увидеть, что по сравнению с 3-им кварталом объёмы импорта дорожных катков упали на 36%, импорт кранов-манипуляторов остался практически неизменным (+1,3%), а вот объём поставок фронтальных погрузчиков увеличился на 47%. Зная это, импортёр в 2013 году точно сделает ставку на закупку осенью не катков, а</w:t>
      </w:r>
      <w:proofErr w:type="gramEnd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погрузчиков. Если говорить об иных видах спецтехники, то из бюллетеня видно, что дело обстояло так:</w:t>
      </w:r>
    </w:p>
    <w:p w:rsidR="006E1EB1" w:rsidRPr="006E1EB1" w:rsidRDefault="006E1EB1" w:rsidP="006E1EB1">
      <w:pPr>
        <w:spacing w:before="100" w:beforeAutospacing="1" w:after="180" w:line="270" w:lineRule="atLeast"/>
        <w:contextualSpacing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1) Фронтальные погрузчики      +47%</w:t>
      </w:r>
    </w:p>
    <w:p w:rsidR="006E1EB1" w:rsidRPr="006E1EB1" w:rsidRDefault="006E1EB1" w:rsidP="006E1EB1">
      <w:pPr>
        <w:spacing w:before="100" w:beforeAutospacing="1" w:after="180" w:line="270" w:lineRule="atLeast"/>
        <w:contextualSpacing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2) Автогрейдеры                           +33%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3) Бульдозеры                               +7,3%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4) Краны-манипуляторы            +1,3%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5) Экскаваторы                               - 8%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br/>
        <w:t>6)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Экскаваторы-погрузчики        - 19%</w:t>
      </w:r>
    </w:p>
    <w:p w:rsidR="006E1EB1" w:rsidRPr="006E1EB1" w:rsidRDefault="006E1EB1" w:rsidP="006E1EB1">
      <w:pPr>
        <w:spacing w:before="100" w:beforeAutospacing="1" w:after="180" w:line="270" w:lineRule="atLeast"/>
        <w:contextualSpacing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7) Автокраны                                   - 32%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8) Дорожные катки                        - 36%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9) С/х тракторы                               - 46%</w:t>
      </w:r>
    </w:p>
    <w:p w:rsid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Ну, а определившись с направлениями роста спроса, можно теперь дальше идти от общего к частному. И следующим шагом может быть определение наиболее востребованной марки популярной техники. В нашем случае с фронтальными погрузчиками это 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SDLG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Ну а в рамках марки можно узнать и модель – хит продаж:        </w:t>
      </w:r>
      <w:proofErr w:type="gramStart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SDLG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LG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936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L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(см. рисунок).</w:t>
      </w:r>
      <w:proofErr w:type="gramEnd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E1EB1" w:rsidRPr="006E1EB1" w:rsidRDefault="006E1EB1" w:rsidP="006E1EB1">
      <w:pPr>
        <w:spacing w:before="100" w:beforeAutospacing="1" w:after="180" w:line="270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3588" wp14:editId="30365B6E">
                <wp:simplePos x="0" y="0"/>
                <wp:positionH relativeFrom="column">
                  <wp:posOffset>-6247</wp:posOffset>
                </wp:positionH>
                <wp:positionV relativeFrom="paragraph">
                  <wp:posOffset>421788</wp:posOffset>
                </wp:positionV>
                <wp:extent cx="5909095" cy="2977116"/>
                <wp:effectExtent l="0" t="0" r="0" b="0"/>
                <wp:wrapNone/>
                <wp:docPr id="12322" name="Прямоугольник 1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5" cy="2977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EB1" w:rsidRDefault="006E1EB1" w:rsidP="006E1E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91E95E" wp14:editId="1CB2B92E">
                                  <wp:extent cx="5278258" cy="2811720"/>
                                  <wp:effectExtent l="0" t="0" r="0" b="825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627" cy="281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22" o:spid="_x0000_s1026" style="position:absolute;left:0;text-align:left;margin-left:-.5pt;margin-top:33.2pt;width:465.3pt;height:2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" filled="f" stroked="f" strokeweight="2pt">
                <v:textbox>
                  <w:txbxContent>
                    <w:p w:rsidR="006E1EB1" w:rsidRDefault="006E1EB1" w:rsidP="006E1EB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91E95E" wp14:editId="1CB2B92E">
                            <wp:extent cx="5278258" cy="2811720"/>
                            <wp:effectExtent l="0" t="0" r="0" b="825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627" cy="281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E1E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НАИБОЛЕЕ ПОПУЛЯРНЫЕ МОДЕЛИ ИМПОРТИРУЕМЫХ                                            ФРОНТАЛЬНЫХ ПОГРУЗЧИКОВ В 4 КВАРТАЛЕ 2012 ГОДА</w:t>
      </w:r>
    </w:p>
    <w:p w:rsidR="006E1EB1" w:rsidRPr="006E1EB1" w:rsidRDefault="006E1EB1" w:rsidP="006E1EB1">
      <w:pPr>
        <w:spacing w:before="100" w:beforeAutospacing="1" w:after="180" w:line="270" w:lineRule="atLeast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ф</w:t>
      </w:r>
      <w:proofErr w:type="gramEnd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Как знаток своего дела, скажу, что самому торговому дому перелопатить огромный поток огромного числа техники – лучше сразу стреляться. Поэтому пользуйтесь бюллетенями, тем более что они стоят обычно небольших денег (несколько тысяч рублей за квартал). Они сработают как навигаторы, по которым вы проложите свой путь к самому необходимому товару и уже совершенно осознанно закажите глубинный анализ именно по нему.</w:t>
      </w: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Существует и ещё один способ нахождения «золотых жил» экспорта-импорта. Постоянно существуя в состоянии </w:t>
      </w:r>
      <w:r w:rsidRPr="006E1EB1">
        <w:rPr>
          <w:rFonts w:ascii="Arial" w:hAnsi="Arial" w:cs="Arial"/>
          <w:i/>
          <w:sz w:val="24"/>
          <w:szCs w:val="24"/>
        </w:rPr>
        <w:t xml:space="preserve">конкурентной борьбы, многие бизнесмены мечтают найти такую рыночную нишу,  где конкуренция пока ещё не так высока, а спрос на товар </w:t>
      </w:r>
      <w:r w:rsidRPr="006E1EB1">
        <w:rPr>
          <w:rFonts w:ascii="Arial" w:hAnsi="Arial" w:cs="Arial"/>
          <w:b/>
          <w:i/>
          <w:sz w:val="24"/>
          <w:szCs w:val="24"/>
        </w:rPr>
        <w:t xml:space="preserve">постоянно (т.е. на протяжении нескольких кварталов и даже лет) </w:t>
      </w:r>
      <w:r w:rsidRPr="006E1EB1">
        <w:rPr>
          <w:rFonts w:ascii="Arial" w:hAnsi="Arial" w:cs="Arial"/>
          <w:i/>
          <w:sz w:val="24"/>
          <w:szCs w:val="24"/>
        </w:rPr>
        <w:t xml:space="preserve">растёт. Ведь если растёт спрос, значит, увеличивается сбыт и вырастают доходы. Легко сказать – найти привлекательную нишу, где спрос устойчиво растёт. Но как её найти? </w:t>
      </w: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 xml:space="preserve">И здесь опять может помочь статистика. Она подскажет, какие товары начали продаваться или производиться очень быстрыми темпами. Этот факт как раз и будет  свидетельствовать о растущем спросе. Ещё лучше, если удастся убедиться, что высокие темпы роста держатся стабильно. Тогда приглядеться к такой нише стоит точно. </w:t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 xml:space="preserve">Мы уже с вами знаем, что классификатор ТН ВЭД содержит более 11 тысяч наименований товаров. Если периодически все эти наименования просматривать на предмет отбора самых привлекательных с точки зрения роста торговли наименований, то получится полезный список. Его можно «распилить» по отраслевому признаку. В результате получатся периодически (поквартально) обновляемые перечни растущих рыночных ниш в виде списка кодов ТН ВЭД и цифр, подтверждающих этот рост. </w:t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 xml:space="preserve">Весь этот отбор проделать можно, но, конечно, не вручную, а с помощью программного обеспечения. </w:t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 xml:space="preserve">Мы оказались любопытными и разработали такое обеспечение. С его помощью ежеквартально отбираем 200  привлекательных товарных ниш импорта и 100 </w:t>
      </w:r>
      <w:r w:rsidRPr="006E1EB1">
        <w:rPr>
          <w:rFonts w:ascii="Arial" w:hAnsi="Arial" w:cs="Arial"/>
          <w:i/>
          <w:sz w:val="24"/>
          <w:szCs w:val="24"/>
        </w:rPr>
        <w:lastRenderedPageBreak/>
        <w:t xml:space="preserve">привлекательных товарных ниш экспорта (к сожалению, активно растущих экспортных ниш меньше, чем импортных). Ниши эти отличаются устойчивым длительным ростом торговли. </w:t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>Наблюдения свои мы ведём уже четвёртый год и за это время видели рынки, демонстрирующие просто чудо роста. Посмотрите на этот пример:</w:t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305E4734" wp14:editId="2BDE713B">
            <wp:extent cx="4742121" cy="2753833"/>
            <wp:effectExtent l="0" t="0" r="1905" b="8890"/>
            <wp:docPr id="6154" name="Рисунок 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46" cy="275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E1EB1" w:rsidRPr="006E1EB1" w:rsidRDefault="006E1EB1" w:rsidP="006E1E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0FAAA806" wp14:editId="20FC9B83">
            <wp:extent cx="5454595" cy="3148716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>Такие ниши есть практически в каждой отрасли. Некоторые отличаются стабильным ростом на протяжении нескольких лет. Если вам интересно, какие это ниши сегодня в Вашей отрасли – получайте нашу рассылку по растущим внешнеторговым рынкам.</w:t>
      </w: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>Будите получать вот такие отраслевые новости:</w:t>
      </w: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</w:p>
    <w:p w:rsidR="006E1EB1" w:rsidRPr="006E1EB1" w:rsidRDefault="006E1EB1" w:rsidP="006E1EB1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6E1EB1">
        <w:rPr>
          <w:rFonts w:ascii="Arial" w:hAnsi="Arial" w:cs="Arial"/>
          <w:b/>
          <w:i/>
          <w:color w:val="002060"/>
          <w:sz w:val="24"/>
          <w:szCs w:val="24"/>
        </w:rPr>
        <w:t>40 новых компаний стали закупать литое и прокатное стекло!</w:t>
      </w:r>
    </w:p>
    <w:p w:rsidR="006E1EB1" w:rsidRPr="006E1EB1" w:rsidRDefault="006E1EB1" w:rsidP="006E1EB1">
      <w:pPr>
        <w:ind w:left="708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6E1EB1">
        <w:rPr>
          <w:rFonts w:ascii="Arial" w:hAnsi="Arial" w:cs="Arial"/>
          <w:i/>
          <w:color w:val="002060"/>
          <w:sz w:val="24"/>
          <w:szCs w:val="24"/>
        </w:rPr>
        <w:lastRenderedPageBreak/>
        <w:t xml:space="preserve">По данным таможенной статистики объёмы импорта литого и прокатного стекла в 4 квартале 2012 года выросли на </w:t>
      </w:r>
      <w:proofErr w:type="gramStart"/>
      <w:r w:rsidRPr="006E1EB1">
        <w:rPr>
          <w:rFonts w:ascii="Arial" w:hAnsi="Arial" w:cs="Arial"/>
          <w:i/>
          <w:color w:val="002060"/>
          <w:sz w:val="24"/>
          <w:szCs w:val="24"/>
        </w:rPr>
        <w:t>61</w:t>
      </w:r>
      <w:proofErr w:type="gramEnd"/>
      <w:r w:rsidRPr="006E1EB1">
        <w:rPr>
          <w:rFonts w:ascii="Arial" w:hAnsi="Arial" w:cs="Arial"/>
          <w:i/>
          <w:color w:val="002060"/>
          <w:sz w:val="24"/>
          <w:szCs w:val="24"/>
        </w:rPr>
        <w:t xml:space="preserve">% и достиг 3,4 млн. долларов. На рынке появилось 40 новых компаний (!), которые начали импортировать литое и прокатное стекло из-за рубежа. Лидером закупок стала компания ООО «ВЕК», которая за последний квартал смогла прибавить 6% доли рынка импорта. Компания ООО «ЭЛКОР» показала наибольшее падение в закупках. За один квартал объем импорта сократился на 5,4%! </w:t>
      </w:r>
    </w:p>
    <w:p w:rsidR="006E1EB1" w:rsidRPr="006E1EB1" w:rsidRDefault="006E1EB1" w:rsidP="006E1EB1">
      <w:pPr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6E1EB1" w:rsidRPr="006E1EB1" w:rsidRDefault="006E1EB1" w:rsidP="006E1EB1">
      <w:pPr>
        <w:jc w:val="both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>Импорт концентрированного апельсинового сока растет уже 8 месяцев!</w:t>
      </w:r>
    </w:p>
    <w:p w:rsidR="006E1EB1" w:rsidRPr="006E1EB1" w:rsidRDefault="006E1EB1" w:rsidP="006E1EB1">
      <w:pPr>
        <w:ind w:left="708"/>
        <w:jc w:val="both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По данным таможенной статистики в 4 квартале 2012 года импорт концентрированного апельсинового сока (код ТН ВЭД 2009199801) вырос на 29% относительно 4 квартала предыдущего года и составил более $16,1 млн. Среди стран-поставщиков лидирует Голландия с долей рынка в импорте более 80%.</w:t>
      </w:r>
    </w:p>
    <w:p w:rsidR="006E1EB1" w:rsidRPr="006E1EB1" w:rsidRDefault="006E1EB1" w:rsidP="006E1EB1">
      <w:pPr>
        <w:ind w:left="708"/>
        <w:jc w:val="both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За период с октября по декабрь 2012 г. импортом в Россию концентрированного апельсинового сока  занимались 11 российских компаний. На долю ООО «Лебедянский» приходится 74% от общей суммы импорта, что и обеспечило данной компании первое место в рейтинге импортеров.</w:t>
      </w: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 xml:space="preserve">Ну а если хотите получить все данные по растущим рынкам за квартал сразу, то закажите базу «ТОР-200 лучших товаров для импорта» и «ТОР-100 лучших товаров для экспорта». Если глаз и мысль зацепились за какую-либо нишу, то дальше не тратьте время – узнайте об этих рынках больше из глубинного анализа ВЭД. </w:t>
      </w:r>
    </w:p>
    <w:p w:rsidR="006E1EB1" w:rsidRPr="006E1EB1" w:rsidRDefault="006E1EB1" w:rsidP="006E1EB1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>Кстати, база перспективных рыночных ниш полезна не только тем, кто</w:t>
      </w:r>
      <w:r w:rsidRPr="006E1EB1">
        <w:rPr>
          <w:rFonts w:ascii="Arial" w:hAnsi="Arial" w:cs="Arial"/>
          <w:bCs/>
          <w:i/>
          <w:sz w:val="24"/>
          <w:szCs w:val="24"/>
        </w:rPr>
        <w:t xml:space="preserve"> ищет новую выгодную нишу, но и тем, кто уже является участником растущих рынков. Помогает сверять свои темпы с </w:t>
      </w:r>
      <w:proofErr w:type="gramStart"/>
      <w:r w:rsidRPr="006E1EB1">
        <w:rPr>
          <w:rFonts w:ascii="Arial" w:hAnsi="Arial" w:cs="Arial"/>
          <w:bCs/>
          <w:i/>
          <w:sz w:val="24"/>
          <w:szCs w:val="24"/>
        </w:rPr>
        <w:t>рыночными</w:t>
      </w:r>
      <w:proofErr w:type="gramEnd"/>
      <w:r w:rsidRPr="006E1EB1">
        <w:rPr>
          <w:rFonts w:ascii="Arial" w:hAnsi="Arial" w:cs="Arial"/>
          <w:bCs/>
          <w:i/>
          <w:sz w:val="24"/>
          <w:szCs w:val="24"/>
        </w:rPr>
        <w:t xml:space="preserve">,  чтобы не потерять достигнутые конкурентные позиции. </w:t>
      </w:r>
      <w:r w:rsidRPr="006E1EB1">
        <w:rPr>
          <w:rFonts w:ascii="Arial" w:hAnsi="Arial" w:cs="Arial"/>
          <w:i/>
          <w:sz w:val="24"/>
          <w:szCs w:val="24"/>
        </w:rPr>
        <w:t>Как</w:t>
      </w:r>
      <w:r w:rsidRPr="006E1EB1">
        <w:rPr>
          <w:rFonts w:ascii="Arial" w:hAnsi="Arial" w:cs="Arial"/>
          <w:bCs/>
          <w:i/>
          <w:sz w:val="24"/>
          <w:szCs w:val="24"/>
        </w:rPr>
        <w:t xml:space="preserve"> ни странно, угроза потери доли рынка связана не с  периодом его падения, а с периодом роста. Например, если рынок сильно подрос, а вы работаете в привычном темпе, то это означает, что вы серьёзно сдали свои конкурентные позиции.  Допустим,  ваша доля рынка - 5%, вы работаете ровно и спокойно, а рынок в это время вырастает вдвое. Если вы оказались в стороне от этого процесса, то  простая арифметика показывает, что теперь вы владеете только ….. 2,5 процентами. Вот так.</w:t>
      </w:r>
    </w:p>
    <w:p w:rsidR="006E1EB1" w:rsidRPr="006E1EB1" w:rsidRDefault="006E1EB1" w:rsidP="006E1EB1">
      <w:pPr>
        <w:ind w:left="360"/>
        <w:jc w:val="both"/>
        <w:rPr>
          <w:rFonts w:ascii="Arial" w:hAnsi="Arial" w:cs="Arial"/>
          <w:bCs/>
          <w:i/>
          <w:sz w:val="24"/>
          <w:szCs w:val="24"/>
        </w:rPr>
      </w:pP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 xml:space="preserve">Из писем заказчиков мы знаем примеры, когда данные о растущих рынках помогли определиться с инвестированием и корректировкой ассортимента. </w:t>
      </w:r>
      <w:r w:rsidRPr="006E1EB1">
        <w:rPr>
          <w:rFonts w:ascii="Arial" w:hAnsi="Arial" w:cs="Arial"/>
          <w:i/>
          <w:sz w:val="24"/>
          <w:szCs w:val="24"/>
        </w:rPr>
        <w:lastRenderedPageBreak/>
        <w:t>Например, от производства стекла компания перешла к стекловолоконным товарам, импорт которых был очень активен.</w:t>
      </w:r>
      <w:r w:rsidRPr="006E1EB1">
        <w:rPr>
          <w:rFonts w:ascii="Arial" w:hAnsi="Arial" w:cs="Arial"/>
          <w:b/>
          <w:i/>
          <w:noProof/>
          <w:sz w:val="24"/>
          <w:szCs w:val="24"/>
          <w:lang w:eastAsia="ru-RU"/>
        </w:rPr>
        <w:t xml:space="preserve"> </w:t>
      </w: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>Бывает, что владельцем бизнеса просто некогда глядеть по сторонам в поисках более выгодного ассортимента, да и в потоке огромного числа информации сложно рассмотреть действительно полезные данные.  Бюллетень сократит время на чтение рыночной информации, и даст ориентир на выгодный товар.</w:t>
      </w:r>
    </w:p>
    <w:p w:rsidR="006E1EB1" w:rsidRPr="006E1EB1" w:rsidRDefault="006E1EB1" w:rsidP="006E1EB1">
      <w:pPr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>Хотите узнать, какие экспортные/импортные ниши сейчас демонстрируют устойчивый многомесячный рост в вашей отрасли?</w:t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hAnsi="Arial" w:cs="Arial"/>
          <w:i/>
          <w:sz w:val="24"/>
          <w:szCs w:val="24"/>
        </w:rPr>
        <w:t>Спросите у нас.</w:t>
      </w:r>
    </w:p>
    <w:p w:rsidR="006E1EB1" w:rsidRPr="006E1EB1" w:rsidRDefault="006E1EB1" w:rsidP="006E1EB1">
      <w:pPr>
        <w:rPr>
          <w:rFonts w:ascii="Arial" w:hAnsi="Arial" w:cs="Arial"/>
          <w:sz w:val="24"/>
          <w:szCs w:val="24"/>
        </w:rPr>
      </w:pPr>
    </w:p>
    <w:p w:rsidR="006E1EB1" w:rsidRPr="006E1EB1" w:rsidRDefault="006E1EB1" w:rsidP="008F0F47">
      <w:pPr>
        <w:pageBreakBefore/>
        <w:contextualSpacing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r w:rsidRPr="006E1EB1">
        <w:rPr>
          <w:rFonts w:ascii="Arial" w:hAnsi="Arial" w:cs="Arial"/>
          <w:i/>
          <w:sz w:val="24"/>
          <w:szCs w:val="24"/>
        </w:rPr>
        <w:lastRenderedPageBreak/>
        <w:t>Глава 21</w:t>
      </w:r>
    </w:p>
    <w:bookmarkEnd w:id="0"/>
    <w:p w:rsidR="006E1EB1" w:rsidRPr="006E1EB1" w:rsidRDefault="006E1EB1" w:rsidP="006E1EB1">
      <w:pPr>
        <w:spacing w:before="100" w:beforeAutospacing="1" w:after="180" w:line="270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Стратегия большой игры с большим другом</w:t>
      </w:r>
    </w:p>
    <w:p w:rsidR="006E1EB1" w:rsidRPr="006E1EB1" w:rsidRDefault="006E1EB1" w:rsidP="006E1EB1">
      <w:pPr>
        <w:spacing w:before="100" w:beforeAutospacing="1" w:after="180" w:line="27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Эта глава интересна тем, кто планирует «играть по-крупному». В первую очередь – тем, чья деятельность связана с производством или тем, кто мечтает его создать. Глава построена на материале моего недавнего выступления на  конференции, посвящённой внешней торговле. На ней я рассказывала, как с помощью таможенной статистики можно сделать последовательность шагов, которая позволит создать «умопомрачительное» расширение бизнеса. Но сразу предупрежу, что путь этого расширения небыстрый. Десятилетие займёт, как минимум.  </w:t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Начну  с конца, с последнего шага моего алгоритма успеха.</w:t>
      </w:r>
    </w:p>
    <w:p w:rsidR="006E1EB1" w:rsidRPr="006E1EB1" w:rsidRDefault="006E1EB1" w:rsidP="006E1EB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По нашим подсчётам больше всего точек роста российского экспорта появилось за последнее время в черной металлургии, на рынке минерального топлива, нефтепродуктов, среди продуктов неорганической химии и электротехники. Но особый интерес  всегда представляют растущие рынки, далёкие от традиционных разновидностей отечественного экспорта. Лидеры этих рынков, хоть и не сидят на трубе и не гонят кругляк, но все же сумели  не только найти потребителя за рубежом, но и обеспечить себе стабильный рост продаж. Кто они, эти новые игроки на экспортном поле, и чем смогли «</w:t>
      </w:r>
      <w:proofErr w:type="gramStart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потрафить</w:t>
      </w:r>
      <w:proofErr w:type="gramEnd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 привередливой загранице? </w:t>
      </w:r>
    </w:p>
    <w:p w:rsidR="006E1EB1" w:rsidRPr="006E1EB1" w:rsidRDefault="006E1EB1" w:rsidP="006E1EB1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Если взглянуть на них внимательнее, то обнаружится следующая любопытная закономерность</w:t>
      </w:r>
      <w:r w:rsidRPr="006E1EB1">
        <w:rPr>
          <w:rFonts w:ascii="Arial" w:hAnsi="Arial" w:cs="Arial"/>
          <w:i/>
          <w:sz w:val="24"/>
          <w:szCs w:val="24"/>
        </w:rPr>
        <w:t>: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Новые точки роста </w:t>
      </w:r>
      <w:proofErr w:type="spellStart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несырьевого</w:t>
      </w:r>
      <w:proofErr w:type="spellEnd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направления связаны </w:t>
      </w:r>
      <w:r w:rsidRPr="006E1E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 зарубежными брэндами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являются результатом прямых иностранных инвестиций. Один из примеров такого рода - 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рост экспортных поставок телевизоров,</w:t>
      </w:r>
      <w:r w:rsidRPr="006E1EB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главным образом</w:t>
      </w:r>
      <w:r w:rsidRPr="006E1EB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марок  SAMSUNG и LG </w:t>
      </w:r>
      <w:proofErr w:type="spellStart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Электроникс</w:t>
      </w:r>
      <w:proofErr w:type="spellEnd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В страны СНГ они теперь поступают не как раньше, из Китая или Тайвани, а  из Калуги и Подмосковья. 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Из Кировской области растет экспорт де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ревянной мебели  для столовых  и  жилых комнат. Это реализуется проект шведской </w:t>
      </w:r>
      <w:proofErr w:type="spellStart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Икеи</w:t>
      </w:r>
      <w:proofErr w:type="spellEnd"/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обеспечивающей предметами домашнего обихода своих контрагентов </w:t>
      </w: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странах Европы и США.</w:t>
      </w:r>
    </w:p>
    <w:p w:rsidR="006E1EB1" w:rsidRPr="006E1EB1" w:rsidRDefault="006E1EB1" w:rsidP="006E1EB1">
      <w:pPr>
        <w:autoSpaceDE w:val="0"/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экспортной торговле печеньем и конфетами преуспели также уже российские фабрики «Марс» и  «Ферреро </w:t>
      </w:r>
      <w:proofErr w:type="spellStart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Руссия</w:t>
      </w:r>
      <w:proofErr w:type="spellEnd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». Характерно, что большинство этих предприятий возникли </w:t>
      </w: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в канун последнего кризиса. Они благополучно пережили кризис, а затем стали активными экспортерами.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Предприятиям, построенным в России с участием иностранного капитала и технологий,  не надо трудиться по созданию  с нуля спроса за рубежом. Им достаточно поддерживать тот, что возник уже давно благодаря усилиям и деньгам их холдингов. 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sz w:val="24"/>
          <w:szCs w:val="24"/>
          <w:lang w:eastAsia="ru-RU"/>
        </w:rPr>
        <w:t>Какие выводы следуют из этой закономерности применительно к стратегии развития производственного бизнеса?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Как Вам такой вывод: консолидация в организации производства  с иностранным партнёром  – хорошая стратегия?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Дело в том, что сегодня схема подобного консолидированного выхода на мировой рынок  – одна из самых надежных для отечественного производителя. Понятно, что до того, как экспортом заняться, нужно сначала завод построить. Понятно также, что в подобной консолидации доля российской стороны будет сведена к паре процентов. Но эти проценты, или даже доли процентов в итоге будут большим жизненным успехом для конкретных людей, конкретного предприятия, конкретного городка или посёлка.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 xml:space="preserve">Риск возврата инвестиций в случае подобного строительства сведен к минимуму, так как спрос, по сути, будет гарантирован хотя бы за счёт экспорта. Пусть в полной мере такие точки экспортного роста гордостью отечественного экспорта не назовёшь, но, если создаются новые рабочие места и пополняется местная казна, то пользой эти явления являются, уж точно. 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E1EB1" w:rsidRPr="006E1EB1" w:rsidRDefault="006E1EB1" w:rsidP="006E1EB1">
      <w:pPr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Итак, мы описали два завершающих шага нашего алгоритма успешных действий: это создание производственной площадки и последующий экспорт товара по ранее наработанным каналам. Однако ему предшествуют три не менее важных шага. Перед тем, как заключить  договор, связанный с созданием производства, необходимо получить у иностранного производителя-инвестора огромное доверие. Получить его можно через успехи, достигнутые по продвижению товара зарубежного производителя в своей стране. Стать дилером №1 – вот путь, который предшествовал не одной идее создания производственной площадки в России. Достигнув этой цели, российская компания получает полную уверенность в том, что товар будет хорошо продаваться. А зарубежный производитель  получает уверенность в том, что есть партнёр, который сможет продвинуть его товар в Россию.  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Чтобы стать дилером №1, надо сначала решить заниматься </w:t>
      </w:r>
      <w:proofErr w:type="spellStart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дилерством</w:t>
      </w:r>
      <w:proofErr w:type="spellEnd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 выбрать для этого зарубежного партнёра.  Ну вот, наконец, и добрались до этого момента. Осталось обозначить всего один шаг. Догадываетесь, о чём речь? Конечно. Нужно выбрать тему для торговли и в рамках её определить  самого лучшего зарубежного поставщика-производителя. Это, как мы понимаем, задачи, как раз и решаемые с помощью таможенной статистики. Если говорить о рыночной нише, то лучше, чтобы рынок был растущим, если говорить о партнёре, то он должен быть лидером.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Теперь можем сформулировать наши шаги в нормальной последовательности:</w:t>
      </w:r>
    </w:p>
    <w:p w:rsidR="006E1EB1" w:rsidRPr="006E1EB1" w:rsidRDefault="006E1EB1" w:rsidP="006E1EB1">
      <w:pPr>
        <w:pStyle w:val="a3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Поиск зарубежного бренда товара, набирающего популярность в России.</w:t>
      </w:r>
    </w:p>
    <w:p w:rsidR="006E1EB1" w:rsidRPr="006E1EB1" w:rsidRDefault="006E1EB1" w:rsidP="006E1EB1">
      <w:pPr>
        <w:pStyle w:val="a3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Оформление с его владельцем дилерского договора.</w:t>
      </w:r>
    </w:p>
    <w:p w:rsidR="006E1EB1" w:rsidRPr="006E1EB1" w:rsidRDefault="006E1EB1" w:rsidP="006E1EB1">
      <w:pPr>
        <w:pStyle w:val="a3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Достижение хороших результатов торговли и проведение переговоров о создании совместного производства</w:t>
      </w:r>
    </w:p>
    <w:p w:rsidR="006E1EB1" w:rsidRPr="006E1EB1" w:rsidRDefault="006E1EB1" w:rsidP="006E1EB1">
      <w:pPr>
        <w:pStyle w:val="a3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Создание производственной площадки и перетягивание внутреннего спроса на себя.</w:t>
      </w:r>
    </w:p>
    <w:p w:rsidR="006E1EB1" w:rsidRPr="006E1EB1" w:rsidRDefault="006E1EB1" w:rsidP="006E1EB1">
      <w:pPr>
        <w:pStyle w:val="a3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Экспорт товара по каналам, ранее наработанным партнёрам.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Добавлю, что рыночных ниш и брендов, ещё не освоенных в России, есть сегодня достаточно.  Подтверждение тому – многочисленные примеры из нашего ежеквартального мониторинга растущих импортных рынков. Каждый раз затрудняюсь в выборе примеров для своих статей. Их действительно много.</w:t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54584B9" wp14:editId="37018E3D">
            <wp:extent cx="5940425" cy="3630839"/>
            <wp:effectExtent l="0" t="0" r="0" b="0"/>
            <wp:docPr id="12325" name="Диаграмма 123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E1EB1" w:rsidRPr="006E1EB1" w:rsidRDefault="006E1EB1" w:rsidP="006E1EB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Примеров много. Однако</w:t>
      </w:r>
      <w:proofErr w:type="gramStart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proofErr w:type="gramEnd"/>
      <w:r w:rsidRPr="006E1E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лучше с выбором поторопиться -  выбрать нишу, а затем и поставщика. Как говорил Гораций, кто начал - половину сделал. Начиная сегодня свою внешнеторговую деятельность, почему бы не мечтать о валютных счетах, пополняемых за счёт многочисленных экспортных поставок своего товара?   </w:t>
      </w:r>
    </w:p>
    <w:p w:rsidR="006E1EB1" w:rsidRPr="004D756B" w:rsidRDefault="006E1EB1" w:rsidP="004D756B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D1F53" w:rsidRPr="00427C09" w:rsidRDefault="00BD1F53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 wp14:anchorId="57543431" wp14:editId="546319AF">
            <wp:extent cx="4019550" cy="685800"/>
            <wp:effectExtent l="0" t="0" r="0" b="0"/>
            <wp:docPr id="1" name="Рисунок 1" descr="http://vvs-info.ru/msg/review/img/butto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vs-info.ru/msg/review/img/butto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53" w:rsidRPr="00427C09" w:rsidRDefault="008F0F47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Держим связь,</w: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Жанна Мартынова - основатель и руководитель "VVS"</w:t>
      </w:r>
    </w:p>
    <w:p w:rsidR="00BD1F53" w:rsidRPr="00427C09" w:rsidRDefault="008F0F47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hyperlink r:id="rId13" w:tgtFrame="_blank" w:history="1">
        <w:r w:rsidR="00BD1F53" w:rsidRPr="00427C09">
          <w:rPr>
            <w:rFonts w:ascii="Arial" w:eastAsia="Times New Roman" w:hAnsi="Arial" w:cs="Arial"/>
            <w:b/>
            <w:bCs/>
            <w:i/>
            <w:iCs/>
            <w:color w:val="1E90FF"/>
            <w:sz w:val="21"/>
            <w:szCs w:val="21"/>
            <w:u w:val="single"/>
            <w:lang w:eastAsia="ru-RU"/>
          </w:rPr>
          <w:t>http://product-market.ru/</w:t>
        </w:r>
      </w:hyperlink>
      <w:r w:rsidR="00BD1F53" w:rsidRPr="00427C0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 </w:t>
      </w:r>
    </w:p>
    <w:p w:rsidR="00B21B20" w:rsidRPr="00D87868" w:rsidRDefault="00B21B20" w:rsidP="00B21B20">
      <w:pPr>
        <w:contextualSpacing/>
        <w:rPr>
          <w:rStyle w:val="a8"/>
          <w:rFonts w:ascii="Arial" w:hAnsi="Arial" w:cs="Arial"/>
          <w:i/>
          <w:sz w:val="24"/>
          <w:szCs w:val="24"/>
        </w:rPr>
      </w:pPr>
    </w:p>
    <w:sectPr w:rsidR="00B21B20" w:rsidRPr="00D8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4C3"/>
    <w:multiLevelType w:val="hybridMultilevel"/>
    <w:tmpl w:val="11E271D0"/>
    <w:lvl w:ilvl="0" w:tplc="95A2E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2F9"/>
    <w:multiLevelType w:val="hybridMultilevel"/>
    <w:tmpl w:val="00E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3E46"/>
    <w:multiLevelType w:val="hybridMultilevel"/>
    <w:tmpl w:val="4808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5BC"/>
    <w:multiLevelType w:val="hybridMultilevel"/>
    <w:tmpl w:val="17B2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6736"/>
    <w:multiLevelType w:val="hybridMultilevel"/>
    <w:tmpl w:val="8312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481A"/>
    <w:multiLevelType w:val="hybridMultilevel"/>
    <w:tmpl w:val="89BE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D17DC"/>
    <w:multiLevelType w:val="hybridMultilevel"/>
    <w:tmpl w:val="112E6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59339B"/>
    <w:multiLevelType w:val="hybridMultilevel"/>
    <w:tmpl w:val="F452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5457B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 CYR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A2621"/>
    <w:multiLevelType w:val="hybridMultilevel"/>
    <w:tmpl w:val="F6E6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A1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04E25"/>
    <w:multiLevelType w:val="hybridMultilevel"/>
    <w:tmpl w:val="FBD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201D9"/>
    <w:multiLevelType w:val="hybridMultilevel"/>
    <w:tmpl w:val="5E2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F3559"/>
    <w:multiLevelType w:val="hybridMultilevel"/>
    <w:tmpl w:val="65DC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7"/>
    <w:rsid w:val="004D756B"/>
    <w:rsid w:val="004E1EC8"/>
    <w:rsid w:val="004E657C"/>
    <w:rsid w:val="005B29FB"/>
    <w:rsid w:val="006B4875"/>
    <w:rsid w:val="006E1EB1"/>
    <w:rsid w:val="007B5ECE"/>
    <w:rsid w:val="00833608"/>
    <w:rsid w:val="008F0F47"/>
    <w:rsid w:val="00A22667"/>
    <w:rsid w:val="00AD6A31"/>
    <w:rsid w:val="00B21B20"/>
    <w:rsid w:val="00BD1F53"/>
    <w:rsid w:val="00CD3867"/>
    <w:rsid w:val="00D87868"/>
    <w:rsid w:val="00F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oduct-marke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vs-info.ru/msg/revie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/>
            </a:pPr>
            <a:r>
              <a:rPr lang="ru-RU" sz="1200" dirty="0" smtClean="0">
                <a:solidFill>
                  <a:srgbClr val="002060"/>
                </a:solidFill>
                <a:latin typeface="Calibri" pitchFamily="34" charset="0"/>
              </a:rPr>
              <a:t>Экспорт медных обмоточных  лакированных и эмалированных проводов </a:t>
            </a:r>
            <a:endParaRPr lang="ru-RU" sz="1200" dirty="0">
              <a:solidFill>
                <a:srgbClr val="002060"/>
              </a:solidFill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15496864981860412"/>
          <c:y val="7.6361040963800165E-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86845287723467"/>
          <c:y val="0.18029002290257951"/>
          <c:w val="0.86657177735733559"/>
          <c:h val="0.576275422322520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ForNotesExp!$I$27</c:f>
              <c:strCache>
                <c:ptCount val="1"/>
                <c:pt idx="0">
                  <c:v>июль 2011-март 2012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ForNotesExp!$H$28:$H$36</c:f>
              <c:strCache>
                <c:ptCount val="9"/>
                <c:pt idx="0">
                  <c:v>Июль </c:v>
                </c:pt>
                <c:pt idx="1">
                  <c:v>Август </c:v>
                </c:pt>
                <c:pt idx="2">
                  <c:v>Сентябрь </c:v>
                </c:pt>
                <c:pt idx="3">
                  <c:v>Октябрь </c:v>
                </c:pt>
                <c:pt idx="4">
                  <c:v>Ноябрь</c:v>
                </c:pt>
                <c:pt idx="5">
                  <c:v>Декабрь </c:v>
                </c:pt>
                <c:pt idx="6">
                  <c:v>Январь</c:v>
                </c:pt>
                <c:pt idx="7">
                  <c:v>Февраль </c:v>
                </c:pt>
                <c:pt idx="8">
                  <c:v>Март </c:v>
                </c:pt>
              </c:strCache>
            </c:strRef>
          </c:cat>
          <c:val>
            <c:numRef>
              <c:f>ForNotesExp!$I$28:$I$36</c:f>
              <c:numCache>
                <c:formatCode>#,##0</c:formatCode>
                <c:ptCount val="9"/>
                <c:pt idx="0">
                  <c:v>139549.12</c:v>
                </c:pt>
                <c:pt idx="1">
                  <c:v>550402.77</c:v>
                </c:pt>
                <c:pt idx="2">
                  <c:v>210398.75</c:v>
                </c:pt>
                <c:pt idx="3">
                  <c:v>351392.23</c:v>
                </c:pt>
                <c:pt idx="4">
                  <c:v>371276.03</c:v>
                </c:pt>
                <c:pt idx="5">
                  <c:v>292271.13555000006</c:v>
                </c:pt>
                <c:pt idx="6">
                  <c:v>122198.77</c:v>
                </c:pt>
                <c:pt idx="7">
                  <c:v>449870.29</c:v>
                </c:pt>
                <c:pt idx="8">
                  <c:v>196364.49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16384"/>
        <c:axId val="73059712"/>
      </c:barChart>
      <c:lineChart>
        <c:grouping val="standard"/>
        <c:varyColors val="0"/>
        <c:ser>
          <c:idx val="0"/>
          <c:order val="1"/>
          <c:tx>
            <c:strRef>
              <c:f>ForNotesExp!$J$27</c:f>
              <c:strCache>
                <c:ptCount val="1"/>
                <c:pt idx="0">
                  <c:v>июль 2012-март 2013</c:v>
                </c:pt>
              </c:strCache>
            </c:strRef>
          </c:tx>
          <c:spPr>
            <a:ln w="44450">
              <a:solidFill>
                <a:srgbClr val="FFC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  <a:prstDash val="solid"/>
              </a:ln>
            </c:spPr>
          </c:marker>
          <c:cat>
            <c:strRef>
              <c:f>ForNotesExp!$H$28:$H$36</c:f>
              <c:strCache>
                <c:ptCount val="9"/>
                <c:pt idx="0">
                  <c:v>Июль </c:v>
                </c:pt>
                <c:pt idx="1">
                  <c:v>Август </c:v>
                </c:pt>
                <c:pt idx="2">
                  <c:v>Сентябрь </c:v>
                </c:pt>
                <c:pt idx="3">
                  <c:v>Октябрь </c:v>
                </c:pt>
                <c:pt idx="4">
                  <c:v>Ноябрь</c:v>
                </c:pt>
                <c:pt idx="5">
                  <c:v>Декабрь </c:v>
                </c:pt>
                <c:pt idx="6">
                  <c:v>Январь</c:v>
                </c:pt>
                <c:pt idx="7">
                  <c:v>Февраль </c:v>
                </c:pt>
                <c:pt idx="8">
                  <c:v>Март </c:v>
                </c:pt>
              </c:strCache>
            </c:strRef>
          </c:cat>
          <c:val>
            <c:numRef>
              <c:f>ForNotesExp!$J$28:$J$36</c:f>
              <c:numCache>
                <c:formatCode>#,##0</c:formatCode>
                <c:ptCount val="9"/>
                <c:pt idx="0">
                  <c:v>517373.43</c:v>
                </c:pt>
                <c:pt idx="1">
                  <c:v>448348.15</c:v>
                </c:pt>
                <c:pt idx="2">
                  <c:v>998112.64</c:v>
                </c:pt>
                <c:pt idx="3">
                  <c:v>1188022.26</c:v>
                </c:pt>
                <c:pt idx="4">
                  <c:v>681716.6</c:v>
                </c:pt>
                <c:pt idx="5">
                  <c:v>832817.77</c:v>
                </c:pt>
                <c:pt idx="6">
                  <c:v>714656.21</c:v>
                </c:pt>
                <c:pt idx="7">
                  <c:v>1130711.6200000001</c:v>
                </c:pt>
                <c:pt idx="8">
                  <c:v>1379147.08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788352"/>
        <c:axId val="73060288"/>
      </c:lineChart>
      <c:catAx>
        <c:axId val="816163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>
                <a:latin typeface="+mn-lt"/>
              </a:defRPr>
            </a:pPr>
            <a:endParaRPr lang="ru-RU"/>
          </a:p>
        </c:txPr>
        <c:crossAx val="730597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730597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>
                <a:latin typeface="+mn-lt"/>
              </a:defRPr>
            </a:pPr>
            <a:endParaRPr lang="ru-RU"/>
          </a:p>
        </c:txPr>
        <c:crossAx val="81616384"/>
        <c:crosses val="autoZero"/>
        <c:crossBetween val="between"/>
      </c:valAx>
      <c:catAx>
        <c:axId val="82788352"/>
        <c:scaling>
          <c:orientation val="minMax"/>
        </c:scaling>
        <c:delete val="1"/>
        <c:axPos val="b"/>
        <c:majorTickMark val="out"/>
        <c:minorTickMark val="none"/>
        <c:tickLblPos val="nextTo"/>
        <c:crossAx val="73060288"/>
        <c:crosses val="autoZero"/>
        <c:auto val="0"/>
        <c:lblAlgn val="ctr"/>
        <c:lblOffset val="100"/>
        <c:noMultiLvlLbl val="0"/>
      </c:catAx>
      <c:valAx>
        <c:axId val="7306028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8278835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900">
                <a:latin typeface="+mn-lt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>
                <a:latin typeface="+mn-lt"/>
              </a:defRPr>
            </a:pPr>
            <a:endParaRPr lang="ru-RU"/>
          </a:p>
        </c:txPr>
      </c:legendEntry>
      <c:layout>
        <c:manualLayout>
          <c:xMode val="edge"/>
          <c:yMode val="edge"/>
          <c:x val="0.15781418145149734"/>
          <c:y val="0.92288781407370879"/>
          <c:w val="0.62614527976405776"/>
          <c:h val="5.970163756811054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ru-RU" sz="1400">
                <a:latin typeface="Calibri" pitchFamily="34" charset="0"/>
              </a:rPr>
              <a:t>Импорт молодых сыров до 40 мас.%, </a:t>
            </a:r>
            <a:r>
              <a:rPr lang="en-US" sz="1400">
                <a:latin typeface="Calibri" pitchFamily="34" charset="0"/>
              </a:rPr>
              <a:t>$</a:t>
            </a:r>
            <a:endParaRPr lang="ru-RU" sz="1400"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23346183289588801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trendline>
            <c:trendlineType val="linear"/>
            <c:forward val="2"/>
            <c:dispRSqr val="0"/>
            <c:dispEq val="0"/>
          </c:trendline>
          <c:cat>
            <c:strRef>
              <c:f>'Для рис.1'!$D$1:$D$25</c:f>
              <c:strCache>
                <c:ptCount val="25"/>
                <c:pt idx="0">
                  <c:v>Сентябрь 2010</c:v>
                </c:pt>
                <c:pt idx="1">
                  <c:v>Октябрь 2010</c:v>
                </c:pt>
                <c:pt idx="2">
                  <c:v>Ноябрь 2010</c:v>
                </c:pt>
                <c:pt idx="3">
                  <c:v>Декабрь 2010</c:v>
                </c:pt>
                <c:pt idx="4">
                  <c:v>Январь 2011</c:v>
                </c:pt>
                <c:pt idx="5">
                  <c:v>Февраль 2011</c:v>
                </c:pt>
                <c:pt idx="6">
                  <c:v>Март 2011</c:v>
                </c:pt>
                <c:pt idx="7">
                  <c:v>Апрель 2011</c:v>
                </c:pt>
                <c:pt idx="8">
                  <c:v>Май 2011</c:v>
                </c:pt>
                <c:pt idx="9">
                  <c:v>Июнь 2011</c:v>
                </c:pt>
                <c:pt idx="10">
                  <c:v>Июль 2011</c:v>
                </c:pt>
                <c:pt idx="11">
                  <c:v>Август 2011</c:v>
                </c:pt>
                <c:pt idx="12">
                  <c:v>Сентябрь 2011</c:v>
                </c:pt>
                <c:pt idx="13">
                  <c:v>Октябрь 2011</c:v>
                </c:pt>
                <c:pt idx="14">
                  <c:v>Ноябрь 2011</c:v>
                </c:pt>
                <c:pt idx="15">
                  <c:v>Декабрь 2011</c:v>
                </c:pt>
                <c:pt idx="16">
                  <c:v>Январь 2012</c:v>
                </c:pt>
                <c:pt idx="17">
                  <c:v>Февраль 2012</c:v>
                </c:pt>
                <c:pt idx="18">
                  <c:v>Март 2012</c:v>
                </c:pt>
                <c:pt idx="19">
                  <c:v>Апрель 2012</c:v>
                </c:pt>
                <c:pt idx="20">
                  <c:v>Май 2012</c:v>
                </c:pt>
                <c:pt idx="21">
                  <c:v>Июнь 2012</c:v>
                </c:pt>
                <c:pt idx="22">
                  <c:v>Июль 2012</c:v>
                </c:pt>
                <c:pt idx="23">
                  <c:v>Август 2012</c:v>
                </c:pt>
                <c:pt idx="24">
                  <c:v>Сентябрь 2012</c:v>
                </c:pt>
              </c:strCache>
            </c:strRef>
          </c:cat>
          <c:val>
            <c:numRef>
              <c:f>'Для рис.1'!$C$1:$C$25</c:f>
              <c:numCache>
                <c:formatCode>#,##0</c:formatCode>
                <c:ptCount val="25"/>
                <c:pt idx="0">
                  <c:v>4041663.13</c:v>
                </c:pt>
                <c:pt idx="1">
                  <c:v>4519195</c:v>
                </c:pt>
                <c:pt idx="2">
                  <c:v>5980774.6900000004</c:v>
                </c:pt>
                <c:pt idx="3">
                  <c:v>5317367.9000000004</c:v>
                </c:pt>
                <c:pt idx="4">
                  <c:v>2478790.79</c:v>
                </c:pt>
                <c:pt idx="5">
                  <c:v>4780339.5999999996</c:v>
                </c:pt>
                <c:pt idx="6">
                  <c:v>6450537.3700000001</c:v>
                </c:pt>
                <c:pt idx="7">
                  <c:v>6469412.79</c:v>
                </c:pt>
                <c:pt idx="8">
                  <c:v>6636610.2400000002</c:v>
                </c:pt>
                <c:pt idx="9">
                  <c:v>6200845.8300000001</c:v>
                </c:pt>
                <c:pt idx="10">
                  <c:v>4036422.44</c:v>
                </c:pt>
                <c:pt idx="11">
                  <c:v>6790490.1399999997</c:v>
                </c:pt>
                <c:pt idx="12">
                  <c:v>6553022.5099999998</c:v>
                </c:pt>
                <c:pt idx="13">
                  <c:v>7289881.4000000004</c:v>
                </c:pt>
                <c:pt idx="14">
                  <c:v>8283281.6900000004</c:v>
                </c:pt>
                <c:pt idx="15">
                  <c:v>7674528.0300000003</c:v>
                </c:pt>
                <c:pt idx="16">
                  <c:v>4577851.3</c:v>
                </c:pt>
                <c:pt idx="17">
                  <c:v>8099720</c:v>
                </c:pt>
                <c:pt idx="18">
                  <c:v>7845470.2300000004</c:v>
                </c:pt>
                <c:pt idx="19">
                  <c:v>8155616.4800000004</c:v>
                </c:pt>
                <c:pt idx="20">
                  <c:v>8507205.1500000004</c:v>
                </c:pt>
                <c:pt idx="21">
                  <c:v>6158107.4299999997</c:v>
                </c:pt>
                <c:pt idx="22">
                  <c:v>7073018.7000000002</c:v>
                </c:pt>
                <c:pt idx="23">
                  <c:v>7239969.7999999998</c:v>
                </c:pt>
                <c:pt idx="24">
                  <c:v>8738941.5500000007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15360"/>
        <c:axId val="73062016"/>
      </c:barChart>
      <c:catAx>
        <c:axId val="8161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>
                <a:latin typeface="Calibri" pitchFamily="34" charset="0"/>
              </a:defRPr>
            </a:pPr>
            <a:endParaRPr lang="ru-RU"/>
          </a:p>
        </c:txPr>
        <c:crossAx val="73062016"/>
        <c:crosses val="autoZero"/>
        <c:auto val="0"/>
        <c:lblAlgn val="ctr"/>
        <c:lblOffset val="100"/>
        <c:noMultiLvlLbl val="0"/>
      </c:catAx>
      <c:valAx>
        <c:axId val="730620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>
                <a:latin typeface="+mn-lt"/>
              </a:defRPr>
            </a:pPr>
            <a:endParaRPr lang="ru-RU"/>
          </a:p>
        </c:txPr>
        <c:crossAx val="8161536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2049</Words>
  <Characters>11683</Characters>
  <Application>Microsoft Office Word</Application>
  <DocSecurity>0</DocSecurity>
  <Lines>97</Lines>
  <Paragraphs>27</Paragraphs>
  <ScaleCrop>false</ScaleCrop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15</cp:revision>
  <dcterms:created xsi:type="dcterms:W3CDTF">2013-10-28T06:00:00Z</dcterms:created>
  <dcterms:modified xsi:type="dcterms:W3CDTF">2014-02-03T08:24:00Z</dcterms:modified>
</cp:coreProperties>
</file>