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E" w:rsidRPr="007F4AC4" w:rsidRDefault="007F4AC4" w:rsidP="007A50A2">
      <w:pPr>
        <w:jc w:val="center"/>
        <w:rPr>
          <w:sz w:val="28"/>
          <w:szCs w:val="28"/>
        </w:rPr>
      </w:pPr>
      <w:r w:rsidRPr="007F4AC4">
        <w:rPr>
          <w:sz w:val="28"/>
          <w:szCs w:val="28"/>
        </w:rPr>
        <w:t>«</w:t>
      </w:r>
      <w:r w:rsidR="00E74364">
        <w:rPr>
          <w:sz w:val="28"/>
          <w:szCs w:val="28"/>
        </w:rPr>
        <w:t xml:space="preserve">Стабильно растущее </w:t>
      </w:r>
      <w:r w:rsidR="00966D6B">
        <w:rPr>
          <w:sz w:val="28"/>
          <w:szCs w:val="28"/>
        </w:rPr>
        <w:t xml:space="preserve">повседневное </w:t>
      </w:r>
      <w:r w:rsidR="00E74364">
        <w:rPr>
          <w:sz w:val="28"/>
          <w:szCs w:val="28"/>
        </w:rPr>
        <w:t>потребление</w:t>
      </w:r>
      <w:r w:rsidRPr="007F4AC4">
        <w:rPr>
          <w:sz w:val="28"/>
          <w:szCs w:val="28"/>
        </w:rPr>
        <w:t>»</w:t>
      </w:r>
    </w:p>
    <w:p w:rsidR="007A50A2" w:rsidRPr="007A50A2" w:rsidRDefault="007A50A2" w:rsidP="007A50A2">
      <w:pPr>
        <w:rPr>
          <w:i/>
        </w:rPr>
      </w:pPr>
      <w:r w:rsidRPr="007A50A2">
        <w:rPr>
          <w:b/>
          <w:i/>
        </w:rPr>
        <w:t>ИГОРЬ Березин</w:t>
      </w:r>
      <w:r w:rsidRPr="007A50A2">
        <w:rPr>
          <w:i/>
        </w:rPr>
        <w:t xml:space="preserve">, ведущий эксперт исследовательского холдинга </w:t>
      </w:r>
      <w:proofErr w:type="spellStart"/>
      <w:r w:rsidRPr="007A50A2">
        <w:rPr>
          <w:i/>
        </w:rPr>
        <w:t>Ромир</w:t>
      </w:r>
      <w:proofErr w:type="spellEnd"/>
    </w:p>
    <w:p w:rsidR="007A50A2" w:rsidRPr="007A50A2" w:rsidRDefault="007A50A2" w:rsidP="007A50A2">
      <w:pPr>
        <w:rPr>
          <w:i/>
        </w:rPr>
      </w:pPr>
      <w:r w:rsidRPr="007A50A2">
        <w:rPr>
          <w:i/>
        </w:rPr>
        <w:t xml:space="preserve">Президент Гильдии Маркетологов </w:t>
      </w:r>
    </w:p>
    <w:p w:rsidR="007A50A2" w:rsidRPr="007A50A2" w:rsidRDefault="007A50A2">
      <w:pPr>
        <w:rPr>
          <w:sz w:val="24"/>
          <w:szCs w:val="24"/>
        </w:rPr>
      </w:pPr>
      <w:r w:rsidRPr="007A50A2">
        <w:rPr>
          <w:sz w:val="24"/>
          <w:szCs w:val="24"/>
        </w:rPr>
        <w:t>Опубликовано в журнале «Однако» №169 август-сентябрь 2013</w:t>
      </w:r>
    </w:p>
    <w:p w:rsidR="007F4AC4" w:rsidRPr="007F4AC4" w:rsidRDefault="007F4AC4">
      <w:pPr>
        <w:rPr>
          <w:b/>
        </w:rPr>
      </w:pPr>
      <w:r w:rsidRPr="007F4AC4">
        <w:rPr>
          <w:b/>
        </w:rPr>
        <w:t xml:space="preserve">За пять лет расходы россиян на покупку продуктов питания и непродовольственных товаров повседневного спроса выросли в номинальном выражении более чем в два раза. С поправкой на инфляцию реальный рост повседневного потребления составил около 40%. Половина этого роста объясняется ростом объемов натурального потребления продуктов и товаров повседневного спроса. Вторая половина – изменением структуры потребляемых товаров в пользу более дорогих </w:t>
      </w:r>
      <w:r w:rsidR="00E74782">
        <w:rPr>
          <w:b/>
        </w:rPr>
        <w:t>ассортиментных позиций</w:t>
      </w:r>
      <w:r w:rsidRPr="007F4AC4">
        <w:rPr>
          <w:b/>
        </w:rPr>
        <w:t>.</w:t>
      </w:r>
    </w:p>
    <w:p w:rsidR="007F4AC4" w:rsidRDefault="007F4AC4">
      <w:bookmarkStart w:id="0" w:name="_GoBack"/>
      <w:bookmarkEnd w:id="0"/>
    </w:p>
    <w:p w:rsidR="004D7DC5" w:rsidRDefault="00157950">
      <w:r>
        <w:t xml:space="preserve">С 2007-го года исследовательский холдинг </w:t>
      </w:r>
      <w:proofErr w:type="spellStart"/>
      <w:r>
        <w:t>Ромир</w:t>
      </w:r>
      <w:proofErr w:type="spellEnd"/>
      <w:r>
        <w:t xml:space="preserve"> проводит изучение повседневного потребления россиян на основе мониторинга покупок с использованием технологии сканирования штрих кодов </w:t>
      </w:r>
      <w:r w:rsidRPr="00E74782">
        <w:rPr>
          <w:b/>
        </w:rPr>
        <w:t>– см. Справку</w:t>
      </w:r>
      <w:r>
        <w:t xml:space="preserve">. За это время накоплен огромный массив интереснейшей информации. В этой статье я расскажу о </w:t>
      </w:r>
      <w:proofErr w:type="gramStart"/>
      <w:r>
        <w:t>том</w:t>
      </w:r>
      <w:proofErr w:type="gramEnd"/>
      <w:r>
        <w:t xml:space="preserve"> как за последние 5 лет (с весны 2008-го года) изменялось повседневное потребление россиян. Весна 2008-го была выбрана за базу для сравнения не случайно. Это был последний спокойный «предкризисный» сезон в нашей новейшей потребительской истории. Уже летом 2008-го «дрогнул» курс рубля и</w:t>
      </w:r>
      <w:r w:rsidR="00E74782">
        <w:t xml:space="preserve"> немного (до 110 дол</w:t>
      </w:r>
      <w:proofErr w:type="gramStart"/>
      <w:r w:rsidR="00E74782">
        <w:t>.</w:t>
      </w:r>
      <w:proofErr w:type="gramEnd"/>
      <w:r w:rsidR="00E74782">
        <w:t xml:space="preserve"> </w:t>
      </w:r>
      <w:proofErr w:type="gramStart"/>
      <w:r w:rsidR="00E74782">
        <w:t>з</w:t>
      </w:r>
      <w:proofErr w:type="gramEnd"/>
      <w:r w:rsidR="00E74782">
        <w:t>а баррель) снизилась цена на нефть. После чего</w:t>
      </w:r>
      <w:r>
        <w:t xml:space="preserve"> начали нарастать тревожные настроения</w:t>
      </w:r>
      <w:r w:rsidR="00E74782">
        <w:t xml:space="preserve"> и ожидания предстоящего кризиса. Который и разразился во всю мощь осенью, а затем захватил весь 2009-й год. А весной 2008-го все было хорошо. И не просто хорошо, а – «очень хорошо». Промышленное производство, торговля, ВВП и доходы населения росли высокими (и в номинальном, и в реальном выражении) темпами восьмой год подряд. </w:t>
      </w:r>
      <w:proofErr w:type="spellStart"/>
      <w:r w:rsidR="00E74782">
        <w:t>Восстанавливаясь</w:t>
      </w:r>
      <w:proofErr w:type="spellEnd"/>
      <w:r w:rsidR="00E74782">
        <w:t xml:space="preserve"> после «провала 90-х». Потребители, предприниматели и государственные чиновники (включая – самого высокого ранга) были полны оптимизма, </w:t>
      </w:r>
      <w:proofErr w:type="gramStart"/>
      <w:r w:rsidR="00E74782">
        <w:t>полагая</w:t>
      </w:r>
      <w:proofErr w:type="gramEnd"/>
      <w:r w:rsidR="00E74782">
        <w:t xml:space="preserve"> что мировые экономические неурядицы нас не коснутся. И Россия по выражению тогдашнего министра финансов останется «островком стабильности в бурном море мирового кризиса»</w:t>
      </w:r>
      <w:r w:rsidR="00A07159">
        <w:t xml:space="preserve">. Так что весна 2008-го это можно сказать наш «мини 1913-й год», с которым </w:t>
      </w:r>
      <w:r w:rsidR="00E74364">
        <w:t>российская</w:t>
      </w:r>
      <w:r w:rsidR="00A07159">
        <w:t xml:space="preserve"> статистика любила сравнивать достижения</w:t>
      </w:r>
      <w:r w:rsidR="00E74364">
        <w:t xml:space="preserve"> советского периода до скончания века. Не ХХ-</w:t>
      </w:r>
      <w:proofErr w:type="spellStart"/>
      <w:r w:rsidR="00E74364">
        <w:t>го</w:t>
      </w:r>
      <w:proofErr w:type="spellEnd"/>
      <w:r w:rsidR="00E74364">
        <w:t xml:space="preserve"> века, а неполного «советского века» в 1992-м году.</w:t>
      </w:r>
    </w:p>
    <w:p w:rsidR="003329CE" w:rsidRPr="003329CE" w:rsidRDefault="00E74364" w:rsidP="003329CE">
      <w:pPr>
        <w:rPr>
          <w:b/>
        </w:rPr>
      </w:pPr>
      <w:r>
        <w:rPr>
          <w:b/>
        </w:rPr>
        <w:t>_______________________</w:t>
      </w:r>
      <w:r w:rsidR="003329CE" w:rsidRPr="003329CE">
        <w:rPr>
          <w:b/>
        </w:rPr>
        <w:t xml:space="preserve">СПРАВКА: </w:t>
      </w:r>
    </w:p>
    <w:p w:rsidR="003329CE" w:rsidRPr="003329CE" w:rsidRDefault="003329CE" w:rsidP="003329CE">
      <w:r w:rsidRPr="003329CE">
        <w:t xml:space="preserve">Исследовательский холдинг </w:t>
      </w:r>
      <w:proofErr w:type="spellStart"/>
      <w:r w:rsidRPr="003329CE">
        <w:t>Ромир</w:t>
      </w:r>
      <w:proofErr w:type="spellEnd"/>
      <w:r w:rsidRPr="003329CE">
        <w:t xml:space="preserve"> разработал новый инструмент измерения потребительской активности – </w:t>
      </w:r>
      <w:r w:rsidRPr="003329CE">
        <w:rPr>
          <w:i/>
        </w:rPr>
        <w:t>«</w:t>
      </w:r>
      <w:proofErr w:type="spellStart"/>
      <w:r w:rsidRPr="003329CE">
        <w:rPr>
          <w:i/>
        </w:rPr>
        <w:t>Ромир</w:t>
      </w:r>
      <w:proofErr w:type="spellEnd"/>
      <w:r w:rsidRPr="003329CE">
        <w:rPr>
          <w:i/>
        </w:rPr>
        <w:t xml:space="preserve"> - индексы покупательской активности»</w:t>
      </w:r>
      <w:r w:rsidRPr="003329CE">
        <w:t>, рассчитываемые на основе панели из 3600 домохозяйств, оснащенных сканерами штрих кодов.</w:t>
      </w:r>
    </w:p>
    <w:p w:rsidR="003329CE" w:rsidRPr="003329CE" w:rsidRDefault="003329CE" w:rsidP="003329CE">
      <w:r w:rsidRPr="003329CE">
        <w:rPr>
          <w:i/>
        </w:rPr>
        <w:t>«</w:t>
      </w:r>
      <w:proofErr w:type="spellStart"/>
      <w:r w:rsidRPr="003329CE">
        <w:rPr>
          <w:i/>
        </w:rPr>
        <w:t>Ромир</w:t>
      </w:r>
      <w:proofErr w:type="spellEnd"/>
      <w:r w:rsidRPr="003329CE">
        <w:rPr>
          <w:i/>
        </w:rPr>
        <w:t xml:space="preserve"> - индексы покупательской активности»</w:t>
      </w:r>
      <w:r w:rsidRPr="003329CE">
        <w:t xml:space="preserve"> отражают динамику потребления товаров повседневного спроса и цен на них, качественный и количественный состав потребительской корзины, изменения в предпочтениях в отношении мест покупок жителей российских городов.</w:t>
      </w:r>
    </w:p>
    <w:p w:rsidR="00E74364" w:rsidRPr="003329CE" w:rsidRDefault="003329CE" w:rsidP="003329CE">
      <w:r w:rsidRPr="003329CE">
        <w:t xml:space="preserve">Базой для расчета индексов являются ежедневно обновляемые, верифицированные данные по покупкам более 100 категорий продовольственных и непродовольственных товаров в городах России с населением 100 000 жителей и более (технология сканирования штрих кодов).  </w:t>
      </w:r>
      <w:r w:rsidR="007A50A2">
        <w:t xml:space="preserve"> </w:t>
      </w:r>
      <w:r w:rsidR="00E74364">
        <w:t>________________________________________________________________</w:t>
      </w:r>
    </w:p>
    <w:p w:rsidR="003329CE" w:rsidRPr="00286B0A" w:rsidRDefault="00E74364" w:rsidP="003329CE">
      <w:pPr>
        <w:rPr>
          <w:b/>
          <w:sz w:val="24"/>
          <w:szCs w:val="24"/>
        </w:rPr>
      </w:pPr>
      <w:r w:rsidRPr="00286B0A">
        <w:rPr>
          <w:b/>
          <w:sz w:val="24"/>
          <w:szCs w:val="24"/>
        </w:rPr>
        <w:lastRenderedPageBreak/>
        <w:t>Рост номинальных расходов</w:t>
      </w:r>
    </w:p>
    <w:p w:rsidR="00E74364" w:rsidRDefault="00E74364" w:rsidP="003329CE"/>
    <w:p w:rsidR="00E74364" w:rsidRDefault="00286B0A" w:rsidP="003329CE">
      <w:r>
        <w:t>За пять лет номинальные расходы на продукты питания и товары повседневного потребления (без учета услуг и крупных покупок типа мебели и техники) выросли в номинальном выражении на 118% - более чем в два раза – см. Диаграмму 1.</w:t>
      </w:r>
    </w:p>
    <w:p w:rsidR="00E74364" w:rsidRDefault="00E74364" w:rsidP="003329CE"/>
    <w:p w:rsidR="00E74364" w:rsidRPr="00286B0A" w:rsidRDefault="00E74364" w:rsidP="003329CE">
      <w:pPr>
        <w:rPr>
          <w:b/>
        </w:rPr>
      </w:pPr>
      <w:r w:rsidRPr="00286B0A">
        <w:rPr>
          <w:b/>
        </w:rPr>
        <w:t xml:space="preserve">Диаграмма 1. </w:t>
      </w:r>
      <w:r w:rsidR="00286B0A" w:rsidRPr="00286B0A">
        <w:rPr>
          <w:b/>
        </w:rPr>
        <w:t>Динамика индекса повседневного потребления 2008 – 2013 гг. За 100 принято значение весны 2008-го.</w:t>
      </w:r>
    </w:p>
    <w:p w:rsidR="00E74364" w:rsidRDefault="00E74364" w:rsidP="003329CE">
      <w:r>
        <w:rPr>
          <w:noProof/>
          <w:lang w:eastAsia="ru-RU"/>
        </w:rPr>
        <w:drawing>
          <wp:inline distT="0" distB="0" distL="0" distR="0">
            <wp:extent cx="5486400" cy="21259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4364" w:rsidRPr="00286B0A" w:rsidRDefault="00E74364" w:rsidP="003329CE">
      <w:pPr>
        <w:rPr>
          <w:b/>
        </w:rPr>
      </w:pPr>
      <w:r w:rsidRPr="00286B0A">
        <w:rPr>
          <w:b/>
        </w:rPr>
        <w:t xml:space="preserve">Источник - </w:t>
      </w:r>
      <w:proofErr w:type="spellStart"/>
      <w:r w:rsidRPr="00286B0A">
        <w:rPr>
          <w:b/>
        </w:rPr>
        <w:t>Ромир</w:t>
      </w:r>
      <w:proofErr w:type="spellEnd"/>
    </w:p>
    <w:p w:rsidR="00286B0A" w:rsidRDefault="00220462" w:rsidP="003329CE">
      <w:r>
        <w:t>Средняя заработная плата (и совокупные доходы населения) за этот период выросла в номинальном выражении только на 77% - менее чем в два раза. Таким образом, темп роста повседневных потребительских расходов в номинальном выражении не только обогнал темпы роста потребительских цен (о чем будет сказано ниже), но и почти на четверть (на 23%) обогнал рост доходов населения.</w:t>
      </w:r>
    </w:p>
    <w:p w:rsidR="00E74364" w:rsidRDefault="00E16256" w:rsidP="003329CE">
      <w:r>
        <w:t>Этот феномен может иметь два объяснения. Первое – происходит массовое «обнищание» широких слоев населения. Все большее число семей вынужденно отказываться от приобретения товаров длительного пользования и оплаты «необязательных» услуг и все большую долю своих потребительских расходов направлять на покупку продуктов питания и товаров первой необходимости.  Однако</w:t>
      </w:r>
      <w:proofErr w:type="gramStart"/>
      <w:r>
        <w:t>,</w:t>
      </w:r>
      <w:proofErr w:type="gramEnd"/>
      <w:r>
        <w:t xml:space="preserve"> это объяснение совсем не вяжется с большинством других показателей потребления. Ни на рынке автомобилей, ни на рынке бытовой техники, ни на рынках платных услуг не наблюдается </w:t>
      </w:r>
      <w:r w:rsidR="00966D6B">
        <w:t xml:space="preserve">устойчивого </w:t>
      </w:r>
      <w:r>
        <w:t xml:space="preserve">снижения спроса. Да, возможно, темпы роста там не такие значительные, но все же эти рынки растут. По крайней мере </w:t>
      </w:r>
      <w:r w:rsidR="00C03A2D">
        <w:t xml:space="preserve">- </w:t>
      </w:r>
      <w:r>
        <w:t xml:space="preserve">в номинальном выражении. При «обнищании» должен происходить сдвиг в структуре потребления в сторону более дешевого ассортимента. А мы наблюдаем ровно противоположный феномен. Наконец, при обнищании цены на продукты питания и товары первой необходимости должны расти темпами превышающими темпы роста номинальных доходов. А у нас – все наоборот  - </w:t>
      </w:r>
      <w:r w:rsidRPr="00C03A2D">
        <w:rPr>
          <w:b/>
        </w:rPr>
        <w:t>см. Диаграмму 2.</w:t>
      </w:r>
    </w:p>
    <w:p w:rsidR="00534A63" w:rsidRDefault="00E16256" w:rsidP="003329CE">
      <w:r>
        <w:t>Второе возможное объяснение  - происходит расширение потребительской «базы». Группы потребителей среднего достатка увеличиваются за счет</w:t>
      </w:r>
      <w:r w:rsidR="00534A63">
        <w:t xml:space="preserve"> тех, кто ранее находился в «зоне бедности» и был вынужден экономить даже на продуктах питания и товарах первой необходимости. Теперь, выйдя из «зоны бедности»</w:t>
      </w:r>
      <w:r w:rsidR="00C03A2D">
        <w:t>,</w:t>
      </w:r>
      <w:r w:rsidR="00534A63">
        <w:t xml:space="preserve"> эти потребители «наверстывают </w:t>
      </w:r>
      <w:proofErr w:type="gramStart"/>
      <w:r w:rsidR="00534A63">
        <w:t>упущенное</w:t>
      </w:r>
      <w:proofErr w:type="gramEnd"/>
      <w:r w:rsidR="00534A63">
        <w:t xml:space="preserve">». </w:t>
      </w:r>
    </w:p>
    <w:p w:rsidR="00E16256" w:rsidRDefault="00534A63" w:rsidP="003329CE">
      <w:r>
        <w:lastRenderedPageBreak/>
        <w:t>На покупку мебели или автомобиля их возросших доходов еще не хватает, но на нормальное питание и приобретение повседневных товаров – вполне. Это объяснение, на мой взгляд</w:t>
      </w:r>
      <w:r w:rsidR="00C03A2D">
        <w:t>,</w:t>
      </w:r>
      <w:r>
        <w:t xml:space="preserve"> куда лучше соотносится с реальностью, чем первое. И мы даже легко можем назвать эти большие социальные группы, покинувшие «зону бедности» за последние пять лет. Это: военнослужащие</w:t>
      </w:r>
      <w:r w:rsidR="00966D6B">
        <w:t xml:space="preserve"> и госслужащие</w:t>
      </w:r>
      <w:r>
        <w:t>, врачи и учителя, часть пенсионеров. Теперь очень важно чтобы их не «подсадили» на дорогущие потребительские кредиты, обслуживание которых может часть этих семей вновь привести к ситуации экономии на еде и товарах первой необходимости.</w:t>
      </w:r>
    </w:p>
    <w:p w:rsidR="00534A63" w:rsidRDefault="00534A63" w:rsidP="003329CE"/>
    <w:p w:rsidR="00C03A2D" w:rsidRPr="004F7779" w:rsidRDefault="00C03A2D" w:rsidP="003329CE">
      <w:pPr>
        <w:rPr>
          <w:b/>
          <w:sz w:val="24"/>
          <w:szCs w:val="24"/>
        </w:rPr>
      </w:pPr>
      <w:r w:rsidRPr="004F7779">
        <w:rPr>
          <w:b/>
          <w:sz w:val="24"/>
          <w:szCs w:val="24"/>
        </w:rPr>
        <w:t>Рост реальных расходов</w:t>
      </w:r>
    </w:p>
    <w:p w:rsidR="00C03A2D" w:rsidRDefault="00C03A2D" w:rsidP="003329CE"/>
    <w:p w:rsidR="00693EEB" w:rsidRDefault="00693EEB" w:rsidP="003329CE">
      <w:r>
        <w:t>Итак, номинальные повседневные расходы за пять лет выросли на 118% (в 2,18 раза). Потребительские цены за эти же пять лет выросли на 55,5%</w:t>
      </w:r>
      <w:r w:rsidR="00966D6B">
        <w:t xml:space="preserve"> </w:t>
      </w:r>
      <w:proofErr w:type="gramStart"/>
      <w:r w:rsidR="00966D6B">
        <w:t xml:space="preserve">( </w:t>
      </w:r>
      <w:proofErr w:type="gramEnd"/>
      <w:r w:rsidR="00966D6B">
        <w:t>в 1,555 раза)</w:t>
      </w:r>
      <w:r>
        <w:t>. С поправкой на инфляцию рост повседневных расходов (уже в реальном выражении) составил ровно 40%. В среднем – ровно по 7% в год.</w:t>
      </w:r>
      <w:r w:rsidR="00740960">
        <w:t xml:space="preserve"> Конечно, год от года сильно отличался. Например</w:t>
      </w:r>
      <w:r w:rsidR="006D7F49">
        <w:t>,</w:t>
      </w:r>
      <w:r w:rsidR="00740960">
        <w:t xml:space="preserve"> в 2009-м (весна к весне 2008-го) повседневные расходы выросли в реальном выражении на 9% на фоне относительно высокой инфляции. Вот тогда, действительно происходило «замещение». На фоне разворачивающегося кризиса резко сократилось потребление автомобилей, мебели, одежды, техники, украшений и прочих товаров не первой необходимости. А повседневное домашнее потребление выросло на </w:t>
      </w:r>
      <w:proofErr w:type="gramStart"/>
      <w:r w:rsidR="00740960">
        <w:t>привычные</w:t>
      </w:r>
      <w:proofErr w:type="gramEnd"/>
      <w:r w:rsidR="00740960">
        <w:t xml:space="preserve"> (по предыдущим восьми годам) 26% в номинальном выражении. Потребители старались сохранить достигнутый темп роста потребления хотя бы по продуктам и товарам первой необходимости. К тому же часть «внедомашнего» потребления вернулось домой. В частности на фоне сокращения</w:t>
      </w:r>
      <w:r w:rsidR="006D7F49">
        <w:t xml:space="preserve"> посещений кафе и ресторанов выросло домашнее потребление полуфабрикатов и недорогого коньяка. А в 2012-м году на фоне относительно низкой инфляции произошло резкое замедление темпов роста реального повседневного потребления – </w:t>
      </w:r>
      <w:r w:rsidR="006D7F49" w:rsidRPr="006D7F49">
        <w:rPr>
          <w:b/>
        </w:rPr>
        <w:t>см. Диаграмму 2</w:t>
      </w:r>
      <w:r w:rsidR="006D7F49">
        <w:t>.</w:t>
      </w:r>
    </w:p>
    <w:p w:rsidR="00C03A2D" w:rsidRPr="00C03A2D" w:rsidRDefault="00C03A2D" w:rsidP="003329CE">
      <w:pPr>
        <w:rPr>
          <w:b/>
        </w:rPr>
      </w:pPr>
      <w:r w:rsidRPr="00C03A2D">
        <w:rPr>
          <w:b/>
        </w:rPr>
        <w:t>Диаграмма 2. Темпы роста расходов, доходов и цен в 2009 – 2013 гг.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предыдущему году.</w:t>
      </w:r>
    </w:p>
    <w:p w:rsidR="00E74364" w:rsidRDefault="004F7779" w:rsidP="003329CE">
      <w:r>
        <w:rPr>
          <w:noProof/>
          <w:lang w:eastAsia="ru-RU"/>
        </w:rPr>
        <w:drawing>
          <wp:inline distT="0" distB="0" distL="0" distR="0" wp14:anchorId="02CFACF7" wp14:editId="742B353A">
            <wp:extent cx="5486400" cy="2346960"/>
            <wp:effectExtent l="0" t="0" r="1905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3A2D" w:rsidRPr="00C03A2D" w:rsidRDefault="00C03A2D" w:rsidP="00C03A2D">
      <w:pPr>
        <w:rPr>
          <w:b/>
        </w:rPr>
      </w:pPr>
      <w:r w:rsidRPr="00C03A2D">
        <w:rPr>
          <w:b/>
        </w:rPr>
        <w:t xml:space="preserve">Источник </w:t>
      </w:r>
      <w:r w:rsidR="004F7779">
        <w:rPr>
          <w:b/>
        </w:rPr>
        <w:t>–</w:t>
      </w:r>
      <w:r w:rsidRPr="00C03A2D">
        <w:rPr>
          <w:b/>
        </w:rPr>
        <w:t xml:space="preserve"> </w:t>
      </w:r>
      <w:proofErr w:type="spellStart"/>
      <w:r w:rsidRPr="00C03A2D">
        <w:rPr>
          <w:b/>
        </w:rPr>
        <w:t>Ромир</w:t>
      </w:r>
      <w:proofErr w:type="spellEnd"/>
      <w:r w:rsidR="004F7779">
        <w:rPr>
          <w:b/>
        </w:rPr>
        <w:t>, И. Березин</w:t>
      </w:r>
    </w:p>
    <w:p w:rsidR="00113E34" w:rsidRDefault="006D7F49" w:rsidP="003329CE">
      <w:r>
        <w:t>Откуда же взялся (или куда ушел) 40%-</w:t>
      </w:r>
      <w:proofErr w:type="spellStart"/>
      <w:r>
        <w:t>ный</w:t>
      </w:r>
      <w:proofErr w:type="spellEnd"/>
      <w:r>
        <w:t xml:space="preserve"> рост реального потребления за пять лет? </w:t>
      </w:r>
      <w:r w:rsidR="00A511F6">
        <w:t xml:space="preserve">Для большей корректности надо заметить, что с учетом изменения структуры потребления между продуктами </w:t>
      </w:r>
      <w:r w:rsidR="00A511F6">
        <w:lastRenderedPageBreak/>
        <w:t>питания и «несъедобными» товарами стоит говорить о примерно 30%-ном росте по продуктам питания и 60%-ном – по непродовольственным товарам повседневного спроса.</w:t>
      </w:r>
    </w:p>
    <w:p w:rsidR="00113E34" w:rsidRDefault="006D7F49" w:rsidP="003329CE">
      <w:r>
        <w:t>Примерно половина этого роста (1</w:t>
      </w:r>
      <w:r w:rsidR="00A511F6">
        <w:t>4</w:t>
      </w:r>
      <w:r>
        <w:t>%</w:t>
      </w:r>
      <w:r w:rsidR="00A511F6">
        <w:t xml:space="preserve"> по продуктам и 27% - по «</w:t>
      </w:r>
      <w:proofErr w:type="spellStart"/>
      <w:r w:rsidR="00A511F6">
        <w:t>неседобному</w:t>
      </w:r>
      <w:proofErr w:type="spellEnd"/>
      <w:r>
        <w:t xml:space="preserve">) – это увеличение физических объемов потребления продуктов питания и товаров повседневного спроса. Потребление мяса птицы и свинины (по данным Мясного Союза России и Росстата) за эти годы выросло более чем на 20%. На 10 -15% увеличилось потребление кофе, чая, шоколада, соков и безалкогольных напитков. Резко выросло потребление (а вернее – продажи) гречки в 2010-м году на фоне панической истерии вокруг темы неурожая этой крупы. </w:t>
      </w:r>
      <w:r w:rsidR="00113E34">
        <w:t xml:space="preserve">Вот только продажи книг в натуральном выражении снижались всю описываемую пятилетку. </w:t>
      </w:r>
    </w:p>
    <w:p w:rsidR="006D7F49" w:rsidRDefault="006D7F49" w:rsidP="003329CE">
      <w:r>
        <w:t xml:space="preserve">Вторая половина </w:t>
      </w:r>
      <w:r w:rsidR="00113E34">
        <w:t xml:space="preserve">роста объясняется </w:t>
      </w:r>
      <w:r>
        <w:t xml:space="preserve"> сдви</w:t>
      </w:r>
      <w:r w:rsidR="00113E34">
        <w:t>гами</w:t>
      </w:r>
      <w:r>
        <w:t xml:space="preserve"> в структуре потребления в пользу относительно более дорогих продуктов и товаров. Потребление йогуртов и </w:t>
      </w:r>
      <w:proofErr w:type="spellStart"/>
      <w:r>
        <w:t>пробиотиков</w:t>
      </w:r>
      <w:proofErr w:type="spellEnd"/>
      <w:r>
        <w:t xml:space="preserve"> росло быстрее, чем</w:t>
      </w:r>
      <w:r w:rsidR="00113E34">
        <w:t xml:space="preserve"> молока и кефира; шоколада и шоколадных конфет в наборах - быстрее, чем карамели и развесных конфет; полуфабрикатов и готовых замороженных продуктов – быстрее, чем куриных окорочков и </w:t>
      </w:r>
      <w:proofErr w:type="gramStart"/>
      <w:r w:rsidR="00113E34">
        <w:t>мороженного</w:t>
      </w:r>
      <w:proofErr w:type="gramEnd"/>
      <w:r w:rsidR="00113E34">
        <w:t xml:space="preserve"> мяса. Та же картина – по зубной пасте и туалетной бумаге, моющим средствам и товарам для дома. Сдвиги в структуре потребления объясняют также известный феномен превышения «индивидуальной» инфляции над «общеэкономической». Люди видят, что тратить на продукты стали существенно больше, хотя есть (как им кажется) больше не стали. И думают, что это Росстат, что то «химичит» с индексами потребительских цен, в угоду правительству. А на самом деле потребители просто не учитывают изменений в своей потребительской корзине.</w:t>
      </w:r>
      <w:r w:rsidR="00BE5102">
        <w:t xml:space="preserve"> Вот очень упрощенный, но весьма простой и показательный пример того как это работает. В марте 2012-го потребитель приобрел два килограмма вареной колбасы по 250 рублей и полкило сырокопченой колбасы по 600 рублей. «Корзина колбасы марта 2012-го» - 2,5 килограмма стоит 800 рублей. В Марте 2013-го тот же потребитель приобрел 1,5 килограмма вареной колбасы по 260 рублей и килограмм сырокопченой по 620 рублей. «Корзина колбасы марта 2013-го» - 2,5 килограмма обошлась ему в 1010 рублей. Инфляция по индивидуальной «колбасной корзине» - более 25% (26,25%, если быть точным). Инфляция по колбасе на рынке (в магазине) – менее 4%. Можно легко сконструировать пример в котором «индивидуальная корзина» будет дорожать, даже при снижении цен на все входящие в нее компоненты.</w:t>
      </w:r>
      <w:r w:rsidR="0092123B">
        <w:t xml:space="preserve"> Даже, если бы в нашем предыдущем примере произошло снижение цен и на вареную и на сырокопченую колбасу на 10%, наш потребитель все равно потратил бы по «колбасную корзину» на 10% больше рублей, чем годом ранее.</w:t>
      </w:r>
    </w:p>
    <w:p w:rsidR="0092123B" w:rsidRDefault="0092123B" w:rsidP="003329CE">
      <w:r>
        <w:t>Завершая тему</w:t>
      </w:r>
      <w:r w:rsidR="004B39B8">
        <w:t>,</w:t>
      </w:r>
      <w:r>
        <w:t xml:space="preserve"> хочу обратить внимание на тот факт, что какой-либо выраженной корреляции между темпами роста средней заработной платы и темпами роста реального (и </w:t>
      </w:r>
      <w:proofErr w:type="gramStart"/>
      <w:r>
        <w:t xml:space="preserve">номинального) </w:t>
      </w:r>
      <w:proofErr w:type="gramEnd"/>
      <w:r>
        <w:t xml:space="preserve">потребления выявлено не было. Строго говоря, все эти пять лет темп роста номинальной средней заработной платы был стабильным – 12% в год – </w:t>
      </w:r>
      <w:r w:rsidRPr="0092123B">
        <w:rPr>
          <w:b/>
        </w:rPr>
        <w:t>см. Диаграмму 2</w:t>
      </w:r>
      <w:r>
        <w:t xml:space="preserve">. И только в </w:t>
      </w:r>
      <w:r w:rsidR="004B39B8">
        <w:t xml:space="preserve">«предвыборный» </w:t>
      </w:r>
      <w:r>
        <w:t>период с весны 2011-го по весну 2012-го он ускорился до 14,5%</w:t>
      </w:r>
      <w:r w:rsidR="004B39B8">
        <w:t>, наверстав предыдущее небольшое замедление темпов роста</w:t>
      </w:r>
      <w:r>
        <w:t>.</w:t>
      </w:r>
      <w:r w:rsidR="004B39B8">
        <w:t xml:space="preserve"> Номинальный же рост расходов в этот период колебался от 8 до 26% в годовом выражении, а реальный – от 1,5 до 12%. На мой взгляд</w:t>
      </w:r>
      <w:r w:rsidR="007C5C10">
        <w:t>,</w:t>
      </w:r>
      <w:r w:rsidR="004B39B8">
        <w:t xml:space="preserve"> это объясняется тем, что для целей нашего анализа «средняя зарплата» и «средний душевой доход» являются слишком обобщающими макропоказатели. Нам бы следовало взять показатели по динамике доходов отдельных крупных групп потребителей. К сожалению, мы такими показателями не располагаем. И располагает ли или Росстат нам не ведомо. Если и располагает – то тщательно их скрывает. Он даже данные по </w:t>
      </w:r>
      <w:proofErr w:type="spellStart"/>
      <w:r w:rsidR="004B39B8">
        <w:t>дец</w:t>
      </w:r>
      <w:r w:rsidR="00C03494">
        <w:t>ильному</w:t>
      </w:r>
      <w:proofErr w:type="spellEnd"/>
      <w:r w:rsidR="00C03494">
        <w:t xml:space="preserve"> распределению по зарабо</w:t>
      </w:r>
      <w:r w:rsidR="004B39B8">
        <w:t xml:space="preserve">тной плате </w:t>
      </w:r>
      <w:r w:rsidR="00C03494">
        <w:t xml:space="preserve">в стране </w:t>
      </w:r>
      <w:r w:rsidR="004B39B8">
        <w:t>не обновлял уже два года.</w:t>
      </w:r>
    </w:p>
    <w:p w:rsidR="00E74364" w:rsidRPr="007C5C10" w:rsidRDefault="007C5C10" w:rsidP="003329CE">
      <w:pPr>
        <w:rPr>
          <w:b/>
          <w:sz w:val="24"/>
          <w:szCs w:val="24"/>
        </w:rPr>
      </w:pPr>
      <w:r w:rsidRPr="007C5C10">
        <w:rPr>
          <w:b/>
          <w:sz w:val="24"/>
          <w:szCs w:val="24"/>
        </w:rPr>
        <w:lastRenderedPageBreak/>
        <w:t>Москва и «регионы»</w:t>
      </w:r>
    </w:p>
    <w:p w:rsidR="00E74364" w:rsidRDefault="00522095" w:rsidP="003329CE">
      <w:r>
        <w:t xml:space="preserve">Вопреки </w:t>
      </w:r>
      <w:proofErr w:type="gramStart"/>
      <w:r>
        <w:t>расхожему</w:t>
      </w:r>
      <w:proofErr w:type="gramEnd"/>
      <w:r>
        <w:t xml:space="preserve"> мнению о том, что Москва живет какой-то своей, отдельной от всей остальной страны жизнью, наши данные показывают, что процессы повседневного потребления происте</w:t>
      </w:r>
      <w:r w:rsidR="007F7764">
        <w:t>к</w:t>
      </w:r>
      <w:r>
        <w:t xml:space="preserve">ают </w:t>
      </w:r>
      <w:r w:rsidR="007F7764">
        <w:t xml:space="preserve">практически синхронно в Москве, городах с населением более миллиона жителей, и городах с населением в 500 – 700 тысяч жителей – </w:t>
      </w:r>
      <w:r w:rsidR="007F7764" w:rsidRPr="007F7764">
        <w:rPr>
          <w:b/>
        </w:rPr>
        <w:t>см. Диаграмму 3</w:t>
      </w:r>
      <w:r w:rsidR="007F7764">
        <w:t>.</w:t>
      </w:r>
    </w:p>
    <w:p w:rsidR="007C5C10" w:rsidRDefault="007C5C10"/>
    <w:p w:rsidR="007C5C10" w:rsidRPr="00522095" w:rsidRDefault="007C5C10">
      <w:pPr>
        <w:rPr>
          <w:b/>
        </w:rPr>
      </w:pPr>
      <w:r w:rsidRPr="00522095">
        <w:rPr>
          <w:b/>
        </w:rPr>
        <w:t>Диаграмма 3.</w:t>
      </w:r>
      <w:r w:rsidR="00522095" w:rsidRPr="00522095">
        <w:rPr>
          <w:b/>
        </w:rPr>
        <w:t xml:space="preserve"> Динамика индекса повседневного потребления в 2008 – 2013 гг. в городах различного размера. За 100% принято значение весны 2008-го года.</w:t>
      </w:r>
    </w:p>
    <w:p w:rsidR="007C5C10" w:rsidRDefault="007C5C10">
      <w:r>
        <w:rPr>
          <w:noProof/>
          <w:lang w:eastAsia="ru-RU"/>
        </w:rPr>
        <w:drawing>
          <wp:inline distT="0" distB="0" distL="0" distR="0">
            <wp:extent cx="5486400" cy="2331720"/>
            <wp:effectExtent l="0" t="0" r="1905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5C10" w:rsidRDefault="007C5C10">
      <w:r w:rsidRPr="00C03A2D">
        <w:rPr>
          <w:b/>
        </w:rPr>
        <w:t xml:space="preserve">Источник </w:t>
      </w:r>
      <w:r>
        <w:rPr>
          <w:b/>
        </w:rPr>
        <w:t>–</w:t>
      </w:r>
      <w:r w:rsidRPr="00C03A2D">
        <w:rPr>
          <w:b/>
        </w:rPr>
        <w:t xml:space="preserve"> </w:t>
      </w:r>
      <w:proofErr w:type="spellStart"/>
      <w:r w:rsidRPr="00C03A2D">
        <w:rPr>
          <w:b/>
        </w:rPr>
        <w:t>Ромир</w:t>
      </w:r>
      <w:proofErr w:type="spellEnd"/>
    </w:p>
    <w:p w:rsidR="007C5C10" w:rsidRDefault="007C5C10"/>
    <w:p w:rsidR="00A62C10" w:rsidRDefault="00A62C10" w:rsidP="007F7764">
      <w:r>
        <w:t>Во всех типах городов номинальный рост повседневного потребления превысил двукратные значения.  Да «стартовые условия»  - номинальный уровень потребления в различных городах был различным пять лет назад. Но эти различия не были очень сильными. Да, эти различия в первую очередь определялись структурой и наполнением повседневной потребительской корзины в различных городах страны.</w:t>
      </w:r>
    </w:p>
    <w:p w:rsidR="007F7764" w:rsidRDefault="007F7764" w:rsidP="007F7764">
      <w:r>
        <w:t xml:space="preserve">Да, разрыв в уровне повседневного потребления между Москвой и другими крупными городами составляет около 60% (в пользу Москвы, естественно). Он был таким пять лет назад.  И, скорее всего 10 – 15 лет назад тоже. И сейчас он такой. Он не уменьшается, но и не растет. В 2009-м году чуть отстали в темпах роста города – </w:t>
      </w:r>
      <w:proofErr w:type="spellStart"/>
      <w:r>
        <w:t>миллионники</w:t>
      </w:r>
      <w:proofErr w:type="spellEnd"/>
      <w:r>
        <w:t xml:space="preserve">. В 2010-м Москва чуть вырвалась вперед. В 2011-м чуть </w:t>
      </w:r>
      <w:proofErr w:type="spellStart"/>
      <w:r>
        <w:t>поотстали</w:t>
      </w:r>
      <w:proofErr w:type="spellEnd"/>
      <w:r>
        <w:t xml:space="preserve"> города с населением около 500 тысяч жителей. В 2012-м все индексы </w:t>
      </w:r>
      <w:r w:rsidR="00A62C10">
        <w:t xml:space="preserve">совершенно </w:t>
      </w:r>
      <w:r>
        <w:t>выровнялись. Сейчас Москва опять чуть впереди. Но, в следующем году, или еще через год, индексы, скорее всего опять сравняются.</w:t>
      </w:r>
    </w:p>
    <w:p w:rsidR="00A62C10" w:rsidRPr="003329CE" w:rsidRDefault="00A62C10" w:rsidP="007F7764">
      <w:r>
        <w:t xml:space="preserve">Эти данные подтверждают единство экономического пространства нашей страны. По крайней мере - с точки зрения повседневного потребления. Наверное, для тех, кто в теме (профессионалов в сфере сетевых форматов розничной торговли, например) эти выводы звучат достаточно банально, но отчего то мы все время слышим эти «тухлые мантры» про </w:t>
      </w:r>
      <w:proofErr w:type="spellStart"/>
      <w:r>
        <w:t>какуюто</w:t>
      </w:r>
      <w:proofErr w:type="spellEnd"/>
      <w:r>
        <w:t xml:space="preserve"> совершенно особую жизнь внутри </w:t>
      </w:r>
      <w:proofErr w:type="spellStart"/>
      <w:r>
        <w:t>МКАДа</w:t>
      </w:r>
      <w:proofErr w:type="spellEnd"/>
      <w:r>
        <w:t>.</w:t>
      </w:r>
    </w:p>
    <w:p w:rsidR="007F7764" w:rsidRDefault="007F7764" w:rsidP="007F7764"/>
    <w:p w:rsidR="007C5C10" w:rsidRPr="00BC6CA0" w:rsidRDefault="00C46EBB">
      <w:pPr>
        <w:rPr>
          <w:b/>
          <w:sz w:val="24"/>
          <w:szCs w:val="24"/>
        </w:rPr>
      </w:pPr>
      <w:r w:rsidRPr="00BC6CA0">
        <w:rPr>
          <w:b/>
          <w:sz w:val="24"/>
          <w:szCs w:val="24"/>
        </w:rPr>
        <w:lastRenderedPageBreak/>
        <w:t>«Богатые» и «бедные»</w:t>
      </w:r>
    </w:p>
    <w:p w:rsidR="00C46EBB" w:rsidRDefault="00C46EBB"/>
    <w:p w:rsidR="00BC6CA0" w:rsidRDefault="00BC6CA0">
      <w:r>
        <w:t xml:space="preserve">Еще один устойчивый миф – о социальном расслоении. По одной его версии дифференциация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доходами</w:t>
      </w:r>
      <w:proofErr w:type="gramEnd"/>
      <w:r>
        <w:t xml:space="preserve"> (и расходам) устойчиво растет. По другой – неуклонно сокращается под воздействием мудрой социальной политики «партии и правительства». Так вот, мы ничего подобного не наблюдаем. За пять лет повседневные потребительские расходы</w:t>
      </w:r>
      <w:r w:rsidR="00D71064">
        <w:t xml:space="preserve"> наименее обеспеченных представителей нашей выборки выросли в 2,2 раза; наиболее обеспеченных – в 2,1 раза. Если разрыв и сократился, то где</w:t>
      </w:r>
      <w:r w:rsidR="00903E67">
        <w:t>-</w:t>
      </w:r>
      <w:r w:rsidR="00D71064">
        <w:t xml:space="preserve">то на 5% не более. </w:t>
      </w:r>
      <w:r w:rsidR="00903E67">
        <w:t xml:space="preserve">Речь идет только о повседневном потреблении!     </w:t>
      </w:r>
      <w:r w:rsidR="00D71064">
        <w:t xml:space="preserve">В наименее выигрышном положении оказались потребители с изначально средним уровнем доходов и потребления. Их повседневные потребительские расходы за пять лет выросли менее чем в два раза (в 1,95 раза или - на 95%) – </w:t>
      </w:r>
      <w:r w:rsidR="00D71064" w:rsidRPr="00123831">
        <w:rPr>
          <w:b/>
        </w:rPr>
        <w:t>см. Диаграмму 4.</w:t>
      </w:r>
      <w:r w:rsidR="00D71064">
        <w:t xml:space="preserve"> </w:t>
      </w:r>
      <w:proofErr w:type="gramStart"/>
      <w:r w:rsidR="00D71064">
        <w:t xml:space="preserve">Так что они немного проиграли (не абсолютно, конечно, а относительно) </w:t>
      </w:r>
      <w:r w:rsidR="00903E67">
        <w:t>и «богатым», и «бедным».</w:t>
      </w:r>
      <w:proofErr w:type="gramEnd"/>
      <w:r w:rsidR="00903E67">
        <w:t xml:space="preserve"> Не в этом ли один из источников социального недовольства «среднего класса», выплеснувшего в виде протестного движения в конце 2011-го – начале 2012-го года? </w:t>
      </w:r>
    </w:p>
    <w:p w:rsidR="00BC6CA0" w:rsidRPr="00522095" w:rsidRDefault="00BC6CA0" w:rsidP="00BC6CA0">
      <w:pPr>
        <w:rPr>
          <w:b/>
        </w:rPr>
      </w:pPr>
      <w:r>
        <w:rPr>
          <w:b/>
        </w:rPr>
        <w:t>Диаграмма 4</w:t>
      </w:r>
      <w:r w:rsidRPr="00522095">
        <w:rPr>
          <w:b/>
        </w:rPr>
        <w:t xml:space="preserve">. Динамика индекса повседневного потребления в 2008 – 2013 гг. </w:t>
      </w:r>
      <w:r>
        <w:rPr>
          <w:b/>
        </w:rPr>
        <w:t>по различным доходным группам потребителей</w:t>
      </w:r>
      <w:r w:rsidRPr="00522095">
        <w:rPr>
          <w:b/>
        </w:rPr>
        <w:t>. За 100% принято значение весны 2008-го года.</w:t>
      </w:r>
    </w:p>
    <w:p w:rsidR="00BC6CA0" w:rsidRDefault="00BC6CA0" w:rsidP="00BC6CA0">
      <w:r>
        <w:rPr>
          <w:noProof/>
          <w:lang w:eastAsia="ru-RU"/>
        </w:rPr>
        <w:drawing>
          <wp:inline distT="0" distB="0" distL="0" distR="0" wp14:anchorId="3F48535C" wp14:editId="54B2B3A2">
            <wp:extent cx="5486400" cy="2331720"/>
            <wp:effectExtent l="0" t="0" r="1905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6CA0" w:rsidRDefault="00BC6CA0" w:rsidP="00BC6CA0">
      <w:r w:rsidRPr="00C03A2D">
        <w:rPr>
          <w:b/>
        </w:rPr>
        <w:t xml:space="preserve">Источник </w:t>
      </w:r>
      <w:r>
        <w:rPr>
          <w:b/>
        </w:rPr>
        <w:t>–</w:t>
      </w:r>
      <w:r w:rsidRPr="00C03A2D">
        <w:rPr>
          <w:b/>
        </w:rPr>
        <w:t xml:space="preserve"> </w:t>
      </w:r>
      <w:proofErr w:type="spellStart"/>
      <w:r w:rsidRPr="00C03A2D">
        <w:rPr>
          <w:b/>
        </w:rPr>
        <w:t>Ромир</w:t>
      </w:r>
      <w:proofErr w:type="spellEnd"/>
    </w:p>
    <w:p w:rsidR="00BC6CA0" w:rsidRDefault="00BC6CA0" w:rsidP="00BC6CA0"/>
    <w:p w:rsidR="00903E67" w:rsidRDefault="00903E67" w:rsidP="00BC6CA0">
      <w:r>
        <w:t xml:space="preserve">Конечно, нашей выборкой изначально (и принципиально) не </w:t>
      </w:r>
      <w:proofErr w:type="gramStart"/>
      <w:r>
        <w:t>охвачены</w:t>
      </w:r>
      <w:proofErr w:type="gramEnd"/>
      <w:r>
        <w:t xml:space="preserve"> 1,5% самых богатых и 15 – 20% наименее обеспеченных горожан. Но, ни нувориши, ни представители «социального дна» не являются значимой (и кому-то интересной) группой на рынках товаров повседневного спроса и продуктов питания.</w:t>
      </w:r>
      <w:r w:rsidR="00123831">
        <w:t xml:space="preserve"> Так что наша выборка вполне адекватно представляет 80% всех потребителей и 90% объемов повседневного потребления.</w:t>
      </w:r>
    </w:p>
    <w:p w:rsidR="007C5C10" w:rsidRDefault="007C5C10"/>
    <w:p w:rsidR="00123831" w:rsidRDefault="00123831"/>
    <w:p w:rsidR="00123831" w:rsidRDefault="00123831"/>
    <w:p w:rsidR="00123831" w:rsidRDefault="00123831"/>
    <w:p w:rsidR="00123831" w:rsidRPr="00425A07" w:rsidRDefault="00425A07">
      <w:pPr>
        <w:rPr>
          <w:b/>
          <w:sz w:val="24"/>
          <w:szCs w:val="24"/>
        </w:rPr>
      </w:pPr>
      <w:r w:rsidRPr="00425A07">
        <w:rPr>
          <w:b/>
          <w:sz w:val="24"/>
          <w:szCs w:val="24"/>
        </w:rPr>
        <w:lastRenderedPageBreak/>
        <w:t>Средний чек</w:t>
      </w:r>
    </w:p>
    <w:p w:rsidR="00425A07" w:rsidRDefault="00DD533F">
      <w:r>
        <w:t xml:space="preserve">Как можно видеть на </w:t>
      </w:r>
      <w:r w:rsidRPr="00DD533F">
        <w:rPr>
          <w:b/>
        </w:rPr>
        <w:t>Диаграмме 5</w:t>
      </w:r>
      <w:r>
        <w:t xml:space="preserve"> до весны 2010-го года размер среднего чека увеличивался темпом даже немногим большим, чем росло номинальное потребление повседневных товаров. Это говорит о том, что покупки в тот период совершались чуть реже и «центр тяжести» понемногу смещался в сторону магазинов крупных форматов. А вот с весны 2011-го, и особенно сильно – последний год, темпы роста среднего чека стали значимо уступать темпам номинального роста повседневных расходов. Т.е. покупки стали совершаться чаще</w:t>
      </w:r>
      <w:r w:rsidR="00E37D72">
        <w:t>. Это свидетельствует в пользу тезиса о росте рациональной компоненты в поведении потребителей. Они стали тщательнее в выборе повседневных товаров. Они ищут «лучшую цену», и готовы в этих поисках посещать большее число торговых точек различных форматов в течени</w:t>
      </w:r>
      <w:proofErr w:type="gramStart"/>
      <w:r w:rsidR="00E37D72">
        <w:t>и</w:t>
      </w:r>
      <w:proofErr w:type="gramEnd"/>
      <w:r w:rsidR="00E37D72">
        <w:t xml:space="preserve"> месяца.</w:t>
      </w:r>
    </w:p>
    <w:p w:rsidR="00425A07" w:rsidRPr="00286B0A" w:rsidRDefault="00425A07" w:rsidP="00425A07">
      <w:pPr>
        <w:rPr>
          <w:b/>
        </w:rPr>
      </w:pPr>
      <w:r>
        <w:rPr>
          <w:b/>
        </w:rPr>
        <w:t>Диаграмма 5</w:t>
      </w:r>
      <w:r w:rsidRPr="00286B0A">
        <w:rPr>
          <w:b/>
        </w:rPr>
        <w:t xml:space="preserve">. Динамика индекса повседневного потребления </w:t>
      </w:r>
      <w:r>
        <w:rPr>
          <w:b/>
        </w:rPr>
        <w:t xml:space="preserve">и размера среднего чека </w:t>
      </w:r>
      <w:r w:rsidRPr="00286B0A">
        <w:rPr>
          <w:b/>
        </w:rPr>
        <w:t>2008 – 2013 гг. За 100 принято значение весны 2008-го.</w:t>
      </w:r>
    </w:p>
    <w:p w:rsidR="00425A07" w:rsidRDefault="00425A07" w:rsidP="00425A07">
      <w:r>
        <w:rPr>
          <w:noProof/>
          <w:lang w:eastAsia="ru-RU"/>
        </w:rPr>
        <w:drawing>
          <wp:inline distT="0" distB="0" distL="0" distR="0" wp14:anchorId="049B5609" wp14:editId="56404A25">
            <wp:extent cx="5486400" cy="2125980"/>
            <wp:effectExtent l="0" t="0" r="1905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831" w:rsidRDefault="00425A07" w:rsidP="00425A07">
      <w:r w:rsidRPr="00286B0A">
        <w:rPr>
          <w:b/>
        </w:rPr>
        <w:t xml:space="preserve">Источник - </w:t>
      </w:r>
      <w:proofErr w:type="spellStart"/>
      <w:r w:rsidRPr="00286B0A">
        <w:rPr>
          <w:b/>
        </w:rPr>
        <w:t>Ромир</w:t>
      </w:r>
      <w:proofErr w:type="spellEnd"/>
    </w:p>
    <w:p w:rsidR="00123831" w:rsidRDefault="00123831"/>
    <w:p w:rsidR="007C5C10" w:rsidRDefault="00DA40E7">
      <w:r>
        <w:t xml:space="preserve">Интересно, что наибольший вклад в рост среднего чека (на 86% за пятилетку) внесли магазины, торгующие через прилавок – как правило - это небольшие магазины « у дома». Средний чек в магазинах такого формата за пять лет вырос почти в три раза. </w:t>
      </w:r>
      <w:r w:rsidR="006346FF">
        <w:t xml:space="preserve">Только за последние два года </w:t>
      </w:r>
      <w:proofErr w:type="gramStart"/>
      <w:r w:rsidR="006346FF">
        <w:t>магазины, торгующие через прилавок увеличили</w:t>
      </w:r>
      <w:proofErr w:type="gramEnd"/>
      <w:r w:rsidR="006346FF">
        <w:t xml:space="preserve"> показатель среднего чека почти в 1,5 раза!           </w:t>
      </w:r>
      <w:r>
        <w:t>А вот в супермаркетах и гипермаркетах средний чек за пять лет вырос только на 60%. 10% годового роста в среднем. Но, конечно, этот процесс был очень не равномерным. В гипермаркетах основной рост пришелся на первый год (весна 2008 – весна 2009), когда этот показатель вырос сразу на 40%. Зато следующие два года он «топтался на месте» и возобновил очень медленный рост только после весны 2011-го.</w:t>
      </w:r>
      <w:r w:rsidR="006346FF">
        <w:t xml:space="preserve"> В супермаркетах первые два года средний чек рос на 15 – 20% в год, следующие три года – на 3 – 7% за год. А вот в </w:t>
      </w:r>
      <w:proofErr w:type="spellStart"/>
      <w:r w:rsidR="006346FF">
        <w:t>дискаунтерах</w:t>
      </w:r>
      <w:proofErr w:type="spellEnd"/>
      <w:r w:rsidR="006346FF">
        <w:t xml:space="preserve"> за пять лет средний чек вырос всего на 37%. Причем практически весь этот рост пришелся на период с весны 2008-го по весну 2010-го года. Так что </w:t>
      </w:r>
      <w:proofErr w:type="spellStart"/>
      <w:r w:rsidR="006346FF">
        <w:t>дискаунтеры</w:t>
      </w:r>
      <w:proofErr w:type="spellEnd"/>
      <w:r w:rsidR="006346FF">
        <w:t xml:space="preserve"> вполне оправдывают свое позиционирование магазинов с доступными ценами и «необременительным» сервисом. В результате такой динамики двукратный разрыв по абсолютному размеру среднего чека между </w:t>
      </w:r>
      <w:proofErr w:type="spellStart"/>
      <w:r w:rsidR="006346FF">
        <w:t>дискаунтерами</w:t>
      </w:r>
      <w:proofErr w:type="spellEnd"/>
      <w:r w:rsidR="006346FF">
        <w:t xml:space="preserve"> и магазинами, торгующими через прилавок практически «улетучился». А вот 2,5 кратный разрыв между размерами среднего чека в гипер</w:t>
      </w:r>
      <w:r w:rsidR="000A20E6">
        <w:t>маркетах и супермаркетах сохраня</w:t>
      </w:r>
      <w:r w:rsidR="006346FF">
        <w:t>ется</w:t>
      </w:r>
      <w:r w:rsidR="000A20E6">
        <w:t xml:space="preserve"> на протяжении всех этих пяти ле</w:t>
      </w:r>
      <w:r w:rsidR="00A511F6">
        <w:t xml:space="preserve">т.  </w:t>
      </w:r>
    </w:p>
    <w:sectPr w:rsidR="007C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36"/>
    <w:rsid w:val="000A20E6"/>
    <w:rsid w:val="00113E34"/>
    <w:rsid w:val="00123831"/>
    <w:rsid w:val="00157950"/>
    <w:rsid w:val="00220462"/>
    <w:rsid w:val="00286B0A"/>
    <w:rsid w:val="003329CE"/>
    <w:rsid w:val="00425A07"/>
    <w:rsid w:val="004B39B8"/>
    <w:rsid w:val="004D7DC5"/>
    <w:rsid w:val="004F7779"/>
    <w:rsid w:val="00522095"/>
    <w:rsid w:val="00534A63"/>
    <w:rsid w:val="006346FF"/>
    <w:rsid w:val="00693EEB"/>
    <w:rsid w:val="006D7F49"/>
    <w:rsid w:val="00740960"/>
    <w:rsid w:val="007A50A2"/>
    <w:rsid w:val="007C5C10"/>
    <w:rsid w:val="007F1036"/>
    <w:rsid w:val="007F4AC4"/>
    <w:rsid w:val="007F7764"/>
    <w:rsid w:val="00903E67"/>
    <w:rsid w:val="0092123B"/>
    <w:rsid w:val="00966D6B"/>
    <w:rsid w:val="00A07159"/>
    <w:rsid w:val="00A511F6"/>
    <w:rsid w:val="00A62C10"/>
    <w:rsid w:val="00BC6CA0"/>
    <w:rsid w:val="00BE5102"/>
    <w:rsid w:val="00C03494"/>
    <w:rsid w:val="00C03A2D"/>
    <w:rsid w:val="00C46EBB"/>
    <w:rsid w:val="00D71064"/>
    <w:rsid w:val="00DA40E7"/>
    <w:rsid w:val="00DD533F"/>
    <w:rsid w:val="00E16256"/>
    <w:rsid w:val="00E37D72"/>
    <w:rsid w:val="00E74364"/>
    <w:rsid w:val="00E74782"/>
    <w:rsid w:val="00F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08</c:v>
                </c:pt>
                <c:pt idx="1">
                  <c:v>Весна 09</c:v>
                </c:pt>
                <c:pt idx="2">
                  <c:v>весна 10</c:v>
                </c:pt>
                <c:pt idx="3">
                  <c:v>Весна 11</c:v>
                </c:pt>
                <c:pt idx="4">
                  <c:v>Весна 12</c:v>
                </c:pt>
                <c:pt idx="5">
                  <c:v>Весна 13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126</c:v>
                </c:pt>
                <c:pt idx="2">
                  <c:v>146</c:v>
                </c:pt>
                <c:pt idx="3">
                  <c:v>177</c:v>
                </c:pt>
                <c:pt idx="4">
                  <c:v>191</c:v>
                </c:pt>
                <c:pt idx="5">
                  <c:v>218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08</c:v>
                </c:pt>
                <c:pt idx="1">
                  <c:v>Весна 09</c:v>
                </c:pt>
                <c:pt idx="2">
                  <c:v>весна 10</c:v>
                </c:pt>
                <c:pt idx="3">
                  <c:v>Весна 11</c:v>
                </c:pt>
                <c:pt idx="4">
                  <c:v>Весна 12</c:v>
                </c:pt>
                <c:pt idx="5">
                  <c:v>Весна 13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08</c:v>
                </c:pt>
                <c:pt idx="1">
                  <c:v>Весна 09</c:v>
                </c:pt>
                <c:pt idx="2">
                  <c:v>весна 10</c:v>
                </c:pt>
                <c:pt idx="3">
                  <c:v>Весна 11</c:v>
                </c:pt>
                <c:pt idx="4">
                  <c:v>Весна 12</c:v>
                </c:pt>
                <c:pt idx="5">
                  <c:v>Весна 13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52704"/>
        <c:axId val="71354240"/>
      </c:barChart>
      <c:catAx>
        <c:axId val="7135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71354240"/>
        <c:crosses val="autoZero"/>
        <c:auto val="1"/>
        <c:lblAlgn val="ctr"/>
        <c:lblOffset val="100"/>
        <c:noMultiLvlLbl val="0"/>
      </c:catAx>
      <c:valAx>
        <c:axId val="7135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352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ном.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Весна 2009</c:v>
                </c:pt>
                <c:pt idx="1">
                  <c:v>Весна 2010</c:v>
                </c:pt>
                <c:pt idx="2">
                  <c:v>Весна 2011</c:v>
                </c:pt>
                <c:pt idx="3">
                  <c:v>Весна 2012</c:v>
                </c:pt>
                <c:pt idx="4">
                  <c:v>Весна 2013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16</c:v>
                </c:pt>
                <c:pt idx="2">
                  <c:v>21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Зарплата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Весна 2009</c:v>
                </c:pt>
                <c:pt idx="1">
                  <c:v>Весна 2010</c:v>
                </c:pt>
                <c:pt idx="2">
                  <c:v>Весна 2011</c:v>
                </c:pt>
                <c:pt idx="3">
                  <c:v>Весна 2012</c:v>
                </c:pt>
                <c:pt idx="4">
                  <c:v>Весна 2013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10</c:v>
                </c:pt>
                <c:pt idx="3">
                  <c:v>14.5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Инфляция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Весна 2009</c:v>
                </c:pt>
                <c:pt idx="1">
                  <c:v>Весна 2010</c:v>
                </c:pt>
                <c:pt idx="2">
                  <c:v>Весна 2011</c:v>
                </c:pt>
                <c:pt idx="3">
                  <c:v>Весна 2012</c:v>
                </c:pt>
                <c:pt idx="4">
                  <c:v>Весна 2013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Расходы реал.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Весна 2009</c:v>
                </c:pt>
                <c:pt idx="1">
                  <c:v>Весна 2010</c:v>
                </c:pt>
                <c:pt idx="2">
                  <c:v>Весна 2011</c:v>
                </c:pt>
                <c:pt idx="3">
                  <c:v>Весна 2012</c:v>
                </c:pt>
                <c:pt idx="4">
                  <c:v>Весна 2013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5.5</c:v>
                </c:pt>
                <c:pt idx="2">
                  <c:v>12</c:v>
                </c:pt>
                <c:pt idx="3">
                  <c:v>1.5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014144"/>
        <c:axId val="77015680"/>
      </c:barChart>
      <c:catAx>
        <c:axId val="7701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77015680"/>
        <c:crosses val="autoZero"/>
        <c:auto val="1"/>
        <c:lblAlgn val="ctr"/>
        <c:lblOffset val="100"/>
        <c:noMultiLvlLbl val="0"/>
      </c:catAx>
      <c:valAx>
        <c:axId val="7701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01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Москва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2008</c:v>
                </c:pt>
                <c:pt idx="1">
                  <c:v>Весна 2009</c:v>
                </c:pt>
                <c:pt idx="2">
                  <c:v>Весна 2010</c:v>
                </c:pt>
                <c:pt idx="3">
                  <c:v>Весна 2011</c:v>
                </c:pt>
                <c:pt idx="4">
                  <c:v>Весна 2012</c:v>
                </c:pt>
                <c:pt idx="5">
                  <c:v>Весна 2013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131</c:v>
                </c:pt>
                <c:pt idx="2">
                  <c:v>158</c:v>
                </c:pt>
                <c:pt idx="3">
                  <c:v>177</c:v>
                </c:pt>
                <c:pt idx="4">
                  <c:v>192</c:v>
                </c:pt>
                <c:pt idx="5">
                  <c:v>231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Миллионники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2008</c:v>
                </c:pt>
                <c:pt idx="1">
                  <c:v>Весна 2009</c:v>
                </c:pt>
                <c:pt idx="2">
                  <c:v>Весна 2010</c:v>
                </c:pt>
                <c:pt idx="3">
                  <c:v>Весна 2011</c:v>
                </c:pt>
                <c:pt idx="4">
                  <c:v>Весна 2012</c:v>
                </c:pt>
                <c:pt idx="5">
                  <c:v>Весна 2013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122</c:v>
                </c:pt>
                <c:pt idx="2">
                  <c:v>145</c:v>
                </c:pt>
                <c:pt idx="3">
                  <c:v>177</c:v>
                </c:pt>
                <c:pt idx="4">
                  <c:v>191</c:v>
                </c:pt>
                <c:pt idx="5">
                  <c:v>218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Пятисоттысячники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2008</c:v>
                </c:pt>
                <c:pt idx="1">
                  <c:v>Весна 2009</c:v>
                </c:pt>
                <c:pt idx="2">
                  <c:v>Весна 2010</c:v>
                </c:pt>
                <c:pt idx="3">
                  <c:v>Весна 2011</c:v>
                </c:pt>
                <c:pt idx="4">
                  <c:v>Весна 2012</c:v>
                </c:pt>
                <c:pt idx="5">
                  <c:v>Весна 2013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133</c:v>
                </c:pt>
                <c:pt idx="2">
                  <c:v>145</c:v>
                </c:pt>
                <c:pt idx="3">
                  <c:v>169</c:v>
                </c:pt>
                <c:pt idx="4">
                  <c:v>191</c:v>
                </c:pt>
                <c:pt idx="5">
                  <c:v>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48224"/>
        <c:axId val="71349760"/>
      </c:barChart>
      <c:catAx>
        <c:axId val="71348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900000"/>
          <a:lstStyle/>
          <a:p>
            <a:pPr>
              <a:defRPr/>
            </a:pPr>
            <a:endParaRPr lang="ru-RU"/>
          </a:p>
        </c:txPr>
        <c:crossAx val="71349760"/>
        <c:crosses val="autoZero"/>
        <c:auto val="1"/>
        <c:lblAlgn val="ctr"/>
        <c:lblOffset val="100"/>
        <c:noMultiLvlLbl val="0"/>
      </c:catAx>
      <c:valAx>
        <c:axId val="71349760"/>
        <c:scaling>
          <c:orientation val="minMax"/>
          <c:max val="250"/>
          <c:min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348224"/>
        <c:crosses val="autoZero"/>
        <c:crossBetween val="between"/>
        <c:majorUnit val="4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-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2008</c:v>
                </c:pt>
                <c:pt idx="1">
                  <c:v>Весна 2009</c:v>
                </c:pt>
                <c:pt idx="2">
                  <c:v>Весна 2010</c:v>
                </c:pt>
                <c:pt idx="3">
                  <c:v>Весна 2011</c:v>
                </c:pt>
                <c:pt idx="4">
                  <c:v>Весна 2012</c:v>
                </c:pt>
                <c:pt idx="5">
                  <c:v>Весна 2013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122</c:v>
                </c:pt>
                <c:pt idx="2">
                  <c:v>146</c:v>
                </c:pt>
                <c:pt idx="3">
                  <c:v>164</c:v>
                </c:pt>
                <c:pt idx="4">
                  <c:v>191</c:v>
                </c:pt>
                <c:pt idx="5">
                  <c:v>218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2008</c:v>
                </c:pt>
                <c:pt idx="1">
                  <c:v>Весна 2009</c:v>
                </c:pt>
                <c:pt idx="2">
                  <c:v>Весна 2010</c:v>
                </c:pt>
                <c:pt idx="3">
                  <c:v>Весна 2011</c:v>
                </c:pt>
                <c:pt idx="4">
                  <c:v>Весна 2012</c:v>
                </c:pt>
                <c:pt idx="5">
                  <c:v>Весна 2013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125</c:v>
                </c:pt>
                <c:pt idx="2">
                  <c:v>137</c:v>
                </c:pt>
                <c:pt idx="3">
                  <c:v>174</c:v>
                </c:pt>
                <c:pt idx="4">
                  <c:v>178</c:v>
                </c:pt>
                <c:pt idx="5">
                  <c:v>196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+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2008</c:v>
                </c:pt>
                <c:pt idx="1">
                  <c:v>Весна 2009</c:v>
                </c:pt>
                <c:pt idx="2">
                  <c:v>Весна 2010</c:v>
                </c:pt>
                <c:pt idx="3">
                  <c:v>Весна 2011</c:v>
                </c:pt>
                <c:pt idx="4">
                  <c:v>Весна 2012</c:v>
                </c:pt>
                <c:pt idx="5">
                  <c:v>Весна 2013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127</c:v>
                </c:pt>
                <c:pt idx="2">
                  <c:v>145</c:v>
                </c:pt>
                <c:pt idx="3">
                  <c:v>171</c:v>
                </c:pt>
                <c:pt idx="4">
                  <c:v>185</c:v>
                </c:pt>
                <c:pt idx="5">
                  <c:v>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70208"/>
        <c:axId val="89080192"/>
      </c:barChart>
      <c:catAx>
        <c:axId val="89070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900000"/>
          <a:lstStyle/>
          <a:p>
            <a:pPr>
              <a:defRPr/>
            </a:pPr>
            <a:endParaRPr lang="ru-RU"/>
          </a:p>
        </c:txPr>
        <c:crossAx val="89080192"/>
        <c:crosses val="autoZero"/>
        <c:auto val="1"/>
        <c:lblAlgn val="ctr"/>
        <c:lblOffset val="100"/>
        <c:noMultiLvlLbl val="0"/>
      </c:catAx>
      <c:valAx>
        <c:axId val="89080192"/>
        <c:scaling>
          <c:orientation val="minMax"/>
          <c:max val="250"/>
          <c:min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070208"/>
        <c:crosses val="autoZero"/>
        <c:crossBetween val="between"/>
        <c:majorUnit val="4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Весна 08</c:v>
                </c:pt>
                <c:pt idx="1">
                  <c:v>Весна 09</c:v>
                </c:pt>
                <c:pt idx="2">
                  <c:v>весна 10</c:v>
                </c:pt>
                <c:pt idx="3">
                  <c:v>Весна 11</c:v>
                </c:pt>
                <c:pt idx="4">
                  <c:v>Весна 12</c:v>
                </c:pt>
                <c:pt idx="5">
                  <c:v>Весна 13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126</c:v>
                </c:pt>
                <c:pt idx="2">
                  <c:v>146</c:v>
                </c:pt>
                <c:pt idx="3">
                  <c:v>177</c:v>
                </c:pt>
                <c:pt idx="4">
                  <c:v>191</c:v>
                </c:pt>
                <c:pt idx="5">
                  <c:v>218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Весна 08</c:v>
                </c:pt>
                <c:pt idx="1">
                  <c:v>Весна 09</c:v>
                </c:pt>
                <c:pt idx="2">
                  <c:v>весна 10</c:v>
                </c:pt>
                <c:pt idx="3">
                  <c:v>Весна 11</c:v>
                </c:pt>
                <c:pt idx="4">
                  <c:v>Весна 12</c:v>
                </c:pt>
                <c:pt idx="5">
                  <c:v>Весна 13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131</c:v>
                </c:pt>
                <c:pt idx="2">
                  <c:v>155</c:v>
                </c:pt>
                <c:pt idx="3">
                  <c:v>162</c:v>
                </c:pt>
                <c:pt idx="4">
                  <c:v>182</c:v>
                </c:pt>
                <c:pt idx="5">
                  <c:v>186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Весна 08</c:v>
                </c:pt>
                <c:pt idx="1">
                  <c:v>Весна 09</c:v>
                </c:pt>
                <c:pt idx="2">
                  <c:v>весна 10</c:v>
                </c:pt>
                <c:pt idx="3">
                  <c:v>Весна 11</c:v>
                </c:pt>
                <c:pt idx="4">
                  <c:v>Весна 12</c:v>
                </c:pt>
                <c:pt idx="5">
                  <c:v>Весна 13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77312"/>
        <c:axId val="88879104"/>
      </c:barChart>
      <c:catAx>
        <c:axId val="8887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8879104"/>
        <c:crosses val="autoZero"/>
        <c:auto val="1"/>
        <c:lblAlgn val="ctr"/>
        <c:lblOffset val="100"/>
        <c:noMultiLvlLbl val="0"/>
      </c:catAx>
      <c:valAx>
        <c:axId val="88879104"/>
        <c:scaling>
          <c:orientation val="minMax"/>
          <c:max val="220"/>
          <c:min val="8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877312"/>
        <c:crosses val="autoZero"/>
        <c:crossBetween val="between"/>
        <c:majorUnit val="20"/>
        <c:minorUnit val="10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17</cp:revision>
  <dcterms:created xsi:type="dcterms:W3CDTF">2013-07-08T07:52:00Z</dcterms:created>
  <dcterms:modified xsi:type="dcterms:W3CDTF">2014-01-11T11:01:00Z</dcterms:modified>
</cp:coreProperties>
</file>