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89" w:rsidRPr="009B51B2" w:rsidRDefault="00F2365B" w:rsidP="00F2365B">
      <w:pPr>
        <w:jc w:val="center"/>
        <w:rPr>
          <w:rFonts w:ascii="Times New Roman" w:hAnsi="Times New Roman" w:cs="Times New Roman"/>
          <w:b/>
          <w:sz w:val="32"/>
          <w:szCs w:val="32"/>
        </w:rPr>
      </w:pPr>
      <w:r w:rsidRPr="009B51B2">
        <w:rPr>
          <w:rFonts w:ascii="Times New Roman" w:hAnsi="Times New Roman" w:cs="Times New Roman"/>
          <w:b/>
          <w:sz w:val="32"/>
          <w:szCs w:val="32"/>
        </w:rPr>
        <w:t>Методика оценки потенциала конкурентоспособности промышленных предприятий России на основе многокритериального интегрального показателя</w:t>
      </w:r>
    </w:p>
    <w:p w:rsidR="00AF3BB8" w:rsidRDefault="00AF3BB8" w:rsidP="00AF3BB8">
      <w:pPr>
        <w:spacing w:line="288" w:lineRule="auto"/>
        <w:jc w:val="right"/>
        <w:rPr>
          <w:rFonts w:ascii="Times New Roman" w:hAnsi="Times New Roman" w:cs="Times New Roman"/>
          <w:color w:val="000000"/>
          <w:sz w:val="24"/>
          <w:szCs w:val="24"/>
          <w:shd w:val="clear" w:color="auto" w:fill="FFFFFF"/>
        </w:rPr>
      </w:pPr>
    </w:p>
    <w:p w:rsidR="00F54AF3" w:rsidRPr="00F54AF3" w:rsidRDefault="00F54AF3" w:rsidP="00AF3BB8">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 xml:space="preserve">Жигарев В.А. </w:t>
      </w:r>
    </w:p>
    <w:p w:rsidR="00F54AF3" w:rsidRPr="00F54AF3" w:rsidRDefault="00F54AF3" w:rsidP="00AF3BB8">
      <w:pPr>
        <w:spacing w:line="288"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ХК</w:t>
      </w:r>
      <w:r w:rsidRPr="00F54AF3">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МосСтройТрансГаз</w:t>
      </w:r>
      <w:proofErr w:type="spellEnd"/>
      <w:r w:rsidRPr="00F54A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Главный специалист по маркетингу</w:t>
      </w:r>
    </w:p>
    <w:p w:rsidR="009D6BC5" w:rsidRDefault="00F54AF3" w:rsidP="00AF3BB8">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Магистр - общий стратегический менеджмент</w:t>
      </w:r>
      <w:r w:rsidR="009D6BC5" w:rsidRPr="009D6BC5">
        <w:rPr>
          <w:rFonts w:ascii="Times New Roman" w:hAnsi="Times New Roman" w:cs="Times New Roman"/>
          <w:color w:val="000000"/>
          <w:sz w:val="24"/>
          <w:szCs w:val="24"/>
          <w:shd w:val="clear" w:color="auto" w:fill="FFFFFF"/>
        </w:rPr>
        <w:t xml:space="preserve"> </w:t>
      </w:r>
      <w:r w:rsidR="009D6BC5">
        <w:rPr>
          <w:rFonts w:ascii="Times New Roman" w:hAnsi="Times New Roman" w:cs="Times New Roman"/>
          <w:color w:val="000000"/>
          <w:sz w:val="24"/>
          <w:szCs w:val="24"/>
          <w:shd w:val="clear" w:color="auto" w:fill="FFFFFF"/>
        </w:rPr>
        <w:t>(</w:t>
      </w:r>
      <w:proofErr w:type="spellStart"/>
      <w:r w:rsidR="009D6BC5">
        <w:rPr>
          <w:rFonts w:ascii="Times New Roman" w:hAnsi="Times New Roman" w:cs="Times New Roman"/>
          <w:color w:val="000000"/>
          <w:sz w:val="24"/>
          <w:szCs w:val="24"/>
          <w:shd w:val="clear" w:color="auto" w:fill="FFFFFF"/>
        </w:rPr>
        <w:t>МИСиС</w:t>
      </w:r>
      <w:proofErr w:type="spellEnd"/>
      <w:r w:rsidR="009D6BC5">
        <w:rPr>
          <w:rFonts w:ascii="Times New Roman" w:hAnsi="Times New Roman" w:cs="Times New Roman"/>
          <w:color w:val="000000"/>
          <w:sz w:val="24"/>
          <w:szCs w:val="24"/>
          <w:shd w:val="clear" w:color="auto" w:fill="FFFFFF"/>
        </w:rPr>
        <w:t>)</w:t>
      </w:r>
      <w:r w:rsidRPr="00F54AF3">
        <w:rPr>
          <w:rFonts w:ascii="Times New Roman" w:hAnsi="Times New Roman" w:cs="Times New Roman"/>
          <w:color w:val="000000"/>
          <w:sz w:val="24"/>
          <w:szCs w:val="24"/>
          <w:shd w:val="clear" w:color="auto" w:fill="FFFFFF"/>
        </w:rPr>
        <w:t xml:space="preserve">, </w:t>
      </w:r>
    </w:p>
    <w:p w:rsidR="00F54AF3" w:rsidRDefault="00F54AF3" w:rsidP="00AF3BB8">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MBA - управление маркетингом</w:t>
      </w:r>
      <w:r w:rsidR="009D6BC5">
        <w:rPr>
          <w:rFonts w:ascii="Times New Roman" w:hAnsi="Times New Roman" w:cs="Times New Roman"/>
          <w:color w:val="000000"/>
          <w:sz w:val="24"/>
          <w:szCs w:val="24"/>
          <w:shd w:val="clear" w:color="auto" w:fill="FFFFFF"/>
        </w:rPr>
        <w:t xml:space="preserve"> (МЭСИ)</w:t>
      </w:r>
      <w:r>
        <w:rPr>
          <w:rFonts w:ascii="Times New Roman" w:hAnsi="Times New Roman" w:cs="Times New Roman"/>
          <w:color w:val="000000"/>
          <w:sz w:val="24"/>
          <w:szCs w:val="24"/>
          <w:shd w:val="clear" w:color="auto" w:fill="FFFFFF"/>
        </w:rPr>
        <w:t>,</w:t>
      </w:r>
    </w:p>
    <w:p w:rsidR="00F54AF3" w:rsidRPr="00F54AF3" w:rsidRDefault="00E90927" w:rsidP="00AF3BB8">
      <w:pPr>
        <w:spacing w:line="288"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К.э.н.</w:t>
      </w:r>
      <w:r w:rsidR="00F54AF3">
        <w:rPr>
          <w:rFonts w:ascii="Times New Roman" w:hAnsi="Times New Roman" w:cs="Times New Roman"/>
          <w:color w:val="000000"/>
          <w:sz w:val="24"/>
          <w:szCs w:val="24"/>
          <w:shd w:val="clear" w:color="auto" w:fill="FFFFFF"/>
        </w:rPr>
        <w:t xml:space="preserve">, кафедры маркетинга РУДН </w:t>
      </w:r>
    </w:p>
    <w:p w:rsidR="00F54AF3" w:rsidRPr="00F54AF3" w:rsidRDefault="00F54AF3" w:rsidP="00AF3BB8">
      <w:pPr>
        <w:spacing w:line="288" w:lineRule="auto"/>
        <w:jc w:val="right"/>
        <w:rPr>
          <w:rFonts w:ascii="Times New Roman" w:hAnsi="Times New Roman" w:cs="Times New Roman"/>
          <w:color w:val="000000"/>
          <w:sz w:val="24"/>
          <w:szCs w:val="24"/>
          <w:shd w:val="clear" w:color="auto" w:fill="FFFFFF"/>
        </w:rPr>
      </w:pPr>
      <w:smartTag w:uri="urn:schemas-microsoft-com:office:smarttags" w:element="metricconverter">
        <w:smartTagPr>
          <w:attr w:name="ProductID" w:val="115191, г"/>
        </w:smartTagPr>
        <w:r w:rsidRPr="00F54AF3">
          <w:rPr>
            <w:rFonts w:ascii="Times New Roman" w:hAnsi="Times New Roman" w:cs="Times New Roman"/>
            <w:color w:val="000000"/>
            <w:sz w:val="24"/>
            <w:szCs w:val="24"/>
            <w:shd w:val="clear" w:color="auto" w:fill="FFFFFF"/>
          </w:rPr>
          <w:t>115191, г</w:t>
        </w:r>
      </w:smartTag>
      <w:r w:rsidRPr="00F54AF3">
        <w:rPr>
          <w:rFonts w:ascii="Times New Roman" w:hAnsi="Times New Roman" w:cs="Times New Roman"/>
          <w:color w:val="000000"/>
          <w:sz w:val="24"/>
          <w:szCs w:val="24"/>
          <w:shd w:val="clear" w:color="auto" w:fill="FFFFFF"/>
        </w:rPr>
        <w:t xml:space="preserve">. Москва, ул. </w:t>
      </w:r>
      <w:proofErr w:type="spellStart"/>
      <w:r w:rsidRPr="00F54AF3">
        <w:rPr>
          <w:rFonts w:ascii="Times New Roman" w:hAnsi="Times New Roman" w:cs="Times New Roman"/>
          <w:color w:val="000000"/>
          <w:sz w:val="24"/>
          <w:szCs w:val="24"/>
          <w:shd w:val="clear" w:color="auto" w:fill="FFFFFF"/>
        </w:rPr>
        <w:t>Серпуховский</w:t>
      </w:r>
      <w:proofErr w:type="spellEnd"/>
      <w:r w:rsidRPr="00F54AF3">
        <w:rPr>
          <w:rFonts w:ascii="Times New Roman" w:hAnsi="Times New Roman" w:cs="Times New Roman"/>
          <w:color w:val="000000"/>
          <w:sz w:val="24"/>
          <w:szCs w:val="24"/>
          <w:shd w:val="clear" w:color="auto" w:fill="FFFFFF"/>
        </w:rPr>
        <w:t xml:space="preserve"> вал, д.3, к.1, кв.27</w:t>
      </w:r>
    </w:p>
    <w:p w:rsidR="00AF3BB8" w:rsidRDefault="00AF3BB8" w:rsidP="00F2365B">
      <w:pPr>
        <w:jc w:val="center"/>
        <w:rPr>
          <w:rFonts w:ascii="Times New Roman" w:hAnsi="Times New Roman" w:cs="Times New Roman"/>
          <w:b/>
          <w:i/>
          <w:sz w:val="28"/>
          <w:szCs w:val="28"/>
        </w:rPr>
      </w:pPr>
    </w:p>
    <w:p w:rsidR="009B51B2" w:rsidRPr="009B51B2" w:rsidRDefault="009B51B2" w:rsidP="00F2365B">
      <w:pPr>
        <w:jc w:val="center"/>
        <w:rPr>
          <w:rFonts w:ascii="Times New Roman" w:hAnsi="Times New Roman" w:cs="Times New Roman"/>
          <w:b/>
          <w:i/>
          <w:sz w:val="28"/>
          <w:szCs w:val="28"/>
        </w:rPr>
      </w:pPr>
      <w:r w:rsidRPr="009B51B2">
        <w:rPr>
          <w:rFonts w:ascii="Times New Roman" w:hAnsi="Times New Roman" w:cs="Times New Roman"/>
          <w:b/>
          <w:i/>
          <w:sz w:val="28"/>
          <w:szCs w:val="28"/>
        </w:rPr>
        <w:t>Теоретический аспект</w:t>
      </w:r>
    </w:p>
    <w:p w:rsidR="00092444" w:rsidRDefault="00092444" w:rsidP="00092444">
      <w:pPr>
        <w:pStyle w:val="12"/>
      </w:pPr>
      <w:r w:rsidRPr="00963DB8">
        <w:t xml:space="preserve">В научной российской и зарубежной литературе существует несколько методов и моделей оценки конкурентоспособности различных бизнес-структур, в том числе осуществляющих свою деятельность в сфере </w:t>
      </w:r>
      <w:r>
        <w:t>промышленного</w:t>
      </w:r>
      <w:r w:rsidRPr="00963DB8">
        <w:t xml:space="preserve"> производства. Так, например, М. Ахматова и Е. Попов предлагают выделять две группы методов оценки конкурентоспособности промышленных предприятий – это группа аналитических методов и г</w:t>
      </w:r>
      <w:r>
        <w:t>руппа графических методов (см. схему ниже)</w:t>
      </w:r>
      <w:r w:rsidRPr="00963DB8">
        <w:t>.</w:t>
      </w:r>
    </w:p>
    <w:p w:rsidR="00092444" w:rsidRPr="00797E32" w:rsidRDefault="00092444" w:rsidP="00092444">
      <w:pPr>
        <w:pStyle w:val="12"/>
      </w:pPr>
      <w:r w:rsidRPr="00797E32">
        <w:t>Согласно концепции, предложенной М. Ахматовой и Е. Поповым, использование тех или иных методов оценки конкурентоспособности должно быть дифференцировано в зависимости от объектов оценки. Объектом оценки может быть собственно промышленное предприятие (в том числе осуществляющ</w:t>
      </w:r>
      <w:r>
        <w:t>ее свою деятельность в любой промышленной</w:t>
      </w:r>
      <w:r w:rsidRPr="00797E32">
        <w:t xml:space="preserve"> отрасли), либо продукция, выпускаемая данным промышленным предприятием</w:t>
      </w:r>
      <w:r>
        <w:t xml:space="preserve">. Все изложенные на рисунке </w:t>
      </w:r>
      <w:r w:rsidRPr="00963DB8">
        <w:t>методы и модели оценки конкурентоспособности традиционны и имеют достаточно большой опыт научного и практического применения.</w:t>
      </w:r>
      <w:r w:rsidRPr="00797E32">
        <w:t xml:space="preserve"> Но в то же время данные методы и модели не лишены недостатков.</w:t>
      </w:r>
    </w:p>
    <w:p w:rsidR="00092444" w:rsidRDefault="00092444" w:rsidP="00092444">
      <w:pPr>
        <w:pStyle w:val="12"/>
      </w:pPr>
      <w:r w:rsidRPr="00797E32">
        <w:t xml:space="preserve">В частности, матрица БКГ, матрица Портера – это статичные оценочные модели, модель </w:t>
      </w:r>
      <w:proofErr w:type="spellStart"/>
      <w:r w:rsidRPr="00797E32">
        <w:t>Райзберга</w:t>
      </w:r>
      <w:proofErr w:type="spellEnd"/>
      <w:r w:rsidRPr="00797E32">
        <w:t xml:space="preserve"> и модель на основе оценки </w:t>
      </w:r>
      <w:r w:rsidRPr="00797E32">
        <w:lastRenderedPageBreak/>
        <w:t>потребительской стоимости во многом субъективны, прочие методы также не отличаются достаточной объективностью и динамичностью. Поэтому использовать предложенные методы и модели для оценки</w:t>
      </w:r>
      <w:r>
        <w:t xml:space="preserve"> конкурентоспособности промышленных</w:t>
      </w:r>
      <w:r w:rsidRPr="00797E32">
        <w:t xml:space="preserve"> предприятий, в том чис</w:t>
      </w:r>
      <w:r>
        <w:t>ле и исследуемых в данной статье</w:t>
      </w:r>
      <w:r w:rsidRPr="00797E32">
        <w:t xml:space="preserve"> не целесообразно.</w:t>
      </w:r>
    </w:p>
    <w:p w:rsidR="00092444" w:rsidRPr="00AF3BB8" w:rsidRDefault="00092444" w:rsidP="0090613B">
      <w:pPr>
        <w:pStyle w:val="1"/>
        <w:jc w:val="center"/>
        <w:rPr>
          <w:rFonts w:ascii="Times New Roman" w:hAnsi="Times New Roman" w:cs="Times New Roman"/>
          <w:i/>
          <w:sz w:val="24"/>
          <w:szCs w:val="24"/>
        </w:rPr>
      </w:pPr>
      <w:r w:rsidRPr="00AF3BB8">
        <w:rPr>
          <w:rFonts w:ascii="Times New Roman" w:hAnsi="Times New Roman" w:cs="Times New Roman"/>
          <w:i/>
          <w:sz w:val="24"/>
          <w:szCs w:val="24"/>
        </w:rPr>
        <w:t>Систематизация методов и моделей оценки конкурентоспособности предприятий промышленности.</w:t>
      </w:r>
      <w:r w:rsidR="0090613B" w:rsidRPr="00AF3BB8">
        <w:rPr>
          <w:rStyle w:val="a5"/>
          <w:rFonts w:ascii="Times New Roman" w:hAnsi="Times New Roman" w:cs="Times New Roman"/>
          <w:sz w:val="24"/>
          <w:szCs w:val="24"/>
        </w:rPr>
        <w:footnoteReference w:id="1"/>
      </w:r>
    </w:p>
    <w:bookmarkStart w:id="0" w:name="_GoBack"/>
    <w:p w:rsidR="00092444" w:rsidRDefault="00092444" w:rsidP="00092444">
      <w:pPr>
        <w:pStyle w:val="12"/>
      </w:pPr>
      <w:r>
        <w:rPr>
          <w:noProof/>
          <w:sz w:val="26"/>
          <w:lang w:eastAsia="ru-RU"/>
        </w:rPr>
        <mc:AlternateContent>
          <mc:Choice Requires="wpc">
            <w:drawing>
              <wp:inline distT="0" distB="0" distL="0" distR="0">
                <wp:extent cx="5940425" cy="6825615"/>
                <wp:effectExtent l="381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288"/>
                        <wps:cNvSpPr>
                          <a:spLocks noChangeArrowheads="1"/>
                        </wps:cNvSpPr>
                        <wps:spPr bwMode="auto">
                          <a:xfrm>
                            <a:off x="1798808" y="62300"/>
                            <a:ext cx="2391610" cy="572901"/>
                          </a:xfrm>
                          <a:prstGeom prst="rect">
                            <a:avLst/>
                          </a:prstGeom>
                          <a:solidFill>
                            <a:srgbClr val="FFFFFF"/>
                          </a:solidFill>
                          <a:ln w="25400">
                            <a:solidFill>
                              <a:srgbClr val="000000"/>
                            </a:solidFill>
                            <a:miter lim="800000"/>
                            <a:headEnd/>
                            <a:tailEnd/>
                          </a:ln>
                        </wps:spPr>
                        <wps:txbx>
                          <w:txbxContent>
                            <w:p w:rsidR="00092444" w:rsidRPr="00426350" w:rsidRDefault="00092444" w:rsidP="00092444">
                              <w:pPr>
                                <w:jc w:val="center"/>
                                <w:rPr>
                                  <w:rFonts w:ascii="Arial" w:hAnsi="Arial" w:cs="Arial"/>
                                </w:rPr>
                              </w:pPr>
                              <w:r w:rsidRPr="00426350">
                                <w:rPr>
                                  <w:rFonts w:ascii="Arial" w:hAnsi="Arial" w:cs="Arial"/>
                                </w:rPr>
                                <w:t>Методы и модели оценки конкурентоспособности</w:t>
                              </w:r>
                            </w:p>
                          </w:txbxContent>
                        </wps:txbx>
                        <wps:bodyPr rot="0" vert="horz" wrap="square" lIns="91440" tIns="45720" rIns="91440" bIns="45720" anchor="ctr" anchorCtr="0" upright="1">
                          <a:noAutofit/>
                        </wps:bodyPr>
                      </wps:wsp>
                      <wps:wsp>
                        <wps:cNvPr id="2" name="Прямоугольник 289"/>
                        <wps:cNvSpPr>
                          <a:spLocks noChangeArrowheads="1"/>
                        </wps:cNvSpPr>
                        <wps:spPr bwMode="auto">
                          <a:xfrm>
                            <a:off x="608603" y="851702"/>
                            <a:ext cx="1940408" cy="405601"/>
                          </a:xfrm>
                          <a:prstGeom prst="rect">
                            <a:avLst/>
                          </a:prstGeom>
                          <a:solidFill>
                            <a:srgbClr val="FFFFFF"/>
                          </a:solidFill>
                          <a:ln w="9525">
                            <a:solidFill>
                              <a:srgbClr val="000000"/>
                            </a:solidFill>
                            <a:miter lim="800000"/>
                            <a:headEnd/>
                            <a:tailEnd/>
                          </a:ln>
                        </wps:spPr>
                        <wps:txbx>
                          <w:txbxContent>
                            <w:p w:rsidR="00092444" w:rsidRPr="00426350" w:rsidRDefault="00092444" w:rsidP="00092444">
                              <w:pPr>
                                <w:pStyle w:val="a6"/>
                                <w:jc w:val="center"/>
                                <w:rPr>
                                  <w:rFonts w:cs="Arial"/>
                                </w:rPr>
                              </w:pPr>
                              <w:r w:rsidRPr="00426350">
                                <w:rPr>
                                  <w:rFonts w:cs="Arial"/>
                                </w:rPr>
                                <w:t>Предприятие</w:t>
                              </w:r>
                            </w:p>
                          </w:txbxContent>
                        </wps:txbx>
                        <wps:bodyPr rot="0" vert="horz" wrap="square" lIns="91440" tIns="45720" rIns="91440" bIns="45720" anchor="ctr" anchorCtr="0" upright="1">
                          <a:noAutofit/>
                        </wps:bodyPr>
                      </wps:wsp>
                      <wps:wsp>
                        <wps:cNvPr id="3" name="Прямоугольник 290"/>
                        <wps:cNvSpPr>
                          <a:spLocks noChangeArrowheads="1"/>
                        </wps:cNvSpPr>
                        <wps:spPr bwMode="auto">
                          <a:xfrm>
                            <a:off x="3427614" y="852402"/>
                            <a:ext cx="1940208" cy="405101"/>
                          </a:xfrm>
                          <a:prstGeom prst="rect">
                            <a:avLst/>
                          </a:prstGeom>
                          <a:solidFill>
                            <a:srgbClr val="FFFFFF"/>
                          </a:solidFill>
                          <a:ln w="9525">
                            <a:solidFill>
                              <a:srgbClr val="000000"/>
                            </a:solidFill>
                            <a:miter lim="800000"/>
                            <a:headEnd/>
                            <a:tailEnd/>
                          </a:ln>
                        </wps:spPr>
                        <wps:txbx>
                          <w:txbxContent>
                            <w:p w:rsidR="00092444" w:rsidRPr="00426350" w:rsidRDefault="00092444" w:rsidP="00092444">
                              <w:pPr>
                                <w:pStyle w:val="a6"/>
                                <w:jc w:val="center"/>
                                <w:rPr>
                                  <w:rFonts w:cs="Arial"/>
                                </w:rPr>
                              </w:pPr>
                              <w:r w:rsidRPr="00426350">
                                <w:rPr>
                                  <w:rFonts w:cs="Arial"/>
                                </w:rPr>
                                <w:t>Продукция предприятия</w:t>
                              </w:r>
                            </w:p>
                          </w:txbxContent>
                        </wps:txbx>
                        <wps:bodyPr rot="0" vert="horz" wrap="square" lIns="91440" tIns="45720" rIns="91440" bIns="45720" anchor="ctr" anchorCtr="0" upright="1">
                          <a:noAutofit/>
                        </wps:bodyPr>
                      </wps:wsp>
                      <wps:wsp>
                        <wps:cNvPr id="4" name="Прямоугольник 291"/>
                        <wps:cNvSpPr>
                          <a:spLocks noChangeArrowheads="1"/>
                        </wps:cNvSpPr>
                        <wps:spPr bwMode="auto">
                          <a:xfrm>
                            <a:off x="1385406" y="1444603"/>
                            <a:ext cx="3228114" cy="415301"/>
                          </a:xfrm>
                          <a:prstGeom prst="rect">
                            <a:avLst/>
                          </a:prstGeom>
                          <a:solidFill>
                            <a:srgbClr val="FFFFFF"/>
                          </a:solidFill>
                          <a:ln w="25400">
                            <a:solidFill>
                              <a:srgbClr val="000000"/>
                            </a:solidFill>
                            <a:miter lim="800000"/>
                            <a:headEnd/>
                            <a:tailEnd/>
                          </a:ln>
                        </wps:spPr>
                        <wps:txbx>
                          <w:txbxContent>
                            <w:p w:rsidR="00092444" w:rsidRPr="00426350" w:rsidRDefault="00092444" w:rsidP="00092444">
                              <w:pPr>
                                <w:pStyle w:val="a6"/>
                                <w:jc w:val="center"/>
                                <w:rPr>
                                  <w:rFonts w:cs="Arial"/>
                                  <w:b/>
                                </w:rPr>
                              </w:pPr>
                              <w:r w:rsidRPr="00426350">
                                <w:rPr>
                                  <w:rFonts w:cs="Arial"/>
                                  <w:b/>
                                </w:rPr>
                                <w:t xml:space="preserve">Аналитические методы и модели </w:t>
                              </w:r>
                            </w:p>
                          </w:txbxContent>
                        </wps:txbx>
                        <wps:bodyPr rot="0" vert="horz" wrap="square" lIns="91440" tIns="45720" rIns="91440" bIns="45720" anchor="ctr" anchorCtr="0" upright="1">
                          <a:noAutofit/>
                        </wps:bodyPr>
                      </wps:wsp>
                      <wps:wsp>
                        <wps:cNvPr id="5" name="Прямоугольник 296"/>
                        <wps:cNvSpPr>
                          <a:spLocks noChangeArrowheads="1"/>
                        </wps:cNvSpPr>
                        <wps:spPr bwMode="auto">
                          <a:xfrm>
                            <a:off x="1385606" y="2110705"/>
                            <a:ext cx="1548707" cy="2488005"/>
                          </a:xfrm>
                          <a:prstGeom prst="rect">
                            <a:avLst/>
                          </a:prstGeom>
                          <a:solidFill>
                            <a:srgbClr val="FFFFFF"/>
                          </a:solidFill>
                          <a:ln w="9525">
                            <a:solidFill>
                              <a:srgbClr val="000000"/>
                            </a:solidFill>
                            <a:miter lim="800000"/>
                            <a:headEnd/>
                            <a:tailEnd/>
                          </a:ln>
                        </wps:spPr>
                        <wps:txbx>
                          <w:txbxContent>
                            <w:p w:rsidR="00092444" w:rsidRPr="00426350" w:rsidRDefault="00092444" w:rsidP="00092444">
                              <w:pPr>
                                <w:pStyle w:val="a6"/>
                                <w:jc w:val="center"/>
                                <w:rPr>
                                  <w:rFonts w:cs="Arial"/>
                                  <w:sz w:val="22"/>
                                  <w:szCs w:val="22"/>
                                </w:rPr>
                              </w:pPr>
                              <w:r w:rsidRPr="00426350">
                                <w:rPr>
                                  <w:rFonts w:cs="Arial"/>
                                  <w:sz w:val="22"/>
                                  <w:szCs w:val="22"/>
                                </w:rPr>
                                <w:t>-Модель Розенберга</w:t>
                              </w:r>
                            </w:p>
                            <w:p w:rsidR="00092444" w:rsidRPr="00426350" w:rsidRDefault="00092444" w:rsidP="00092444">
                              <w:pPr>
                                <w:pStyle w:val="a6"/>
                                <w:jc w:val="center"/>
                                <w:rPr>
                                  <w:rFonts w:cs="Arial"/>
                                  <w:sz w:val="22"/>
                                  <w:szCs w:val="22"/>
                                </w:rPr>
                              </w:pPr>
                              <w:r w:rsidRPr="00426350">
                                <w:rPr>
                                  <w:rFonts w:cs="Arial"/>
                                  <w:sz w:val="22"/>
                                  <w:szCs w:val="22"/>
                                </w:rPr>
                                <w:t>-Интегральный показатель</w:t>
                              </w:r>
                            </w:p>
                            <w:p w:rsidR="00092444" w:rsidRPr="00426350" w:rsidRDefault="00092444" w:rsidP="00092444">
                              <w:pPr>
                                <w:pStyle w:val="a6"/>
                                <w:jc w:val="center"/>
                                <w:rPr>
                                  <w:rFonts w:cs="Arial"/>
                                  <w:sz w:val="22"/>
                                  <w:szCs w:val="22"/>
                                </w:rPr>
                              </w:pPr>
                              <w:r w:rsidRPr="00426350">
                                <w:rPr>
                                  <w:rFonts w:cs="Arial"/>
                                  <w:sz w:val="22"/>
                                  <w:szCs w:val="22"/>
                                </w:rPr>
                                <w:t>-Оценка конкурен</w:t>
                              </w:r>
                              <w:r>
                                <w:rPr>
                                  <w:rFonts w:cs="Arial"/>
                                  <w:sz w:val="22"/>
                                  <w:szCs w:val="22"/>
                                </w:rPr>
                                <w:t>тоспособности на основе уровня</w:t>
                              </w:r>
                              <w:r w:rsidRPr="00426350">
                                <w:rPr>
                                  <w:rFonts w:cs="Arial"/>
                                  <w:sz w:val="22"/>
                                  <w:szCs w:val="22"/>
                                </w:rPr>
                                <w:t xml:space="preserve"> продаж</w:t>
                              </w:r>
                            </w:p>
                            <w:p w:rsidR="00092444" w:rsidRPr="00426350" w:rsidRDefault="00092444" w:rsidP="00092444">
                              <w:pPr>
                                <w:pStyle w:val="a6"/>
                                <w:jc w:val="center"/>
                                <w:rPr>
                                  <w:rFonts w:cs="Arial"/>
                                  <w:sz w:val="22"/>
                                  <w:szCs w:val="22"/>
                                </w:rPr>
                              </w:pPr>
                              <w:r w:rsidRPr="00426350">
                                <w:rPr>
                                  <w:rFonts w:cs="Arial"/>
                                  <w:sz w:val="22"/>
                                  <w:szCs w:val="22"/>
                                </w:rPr>
                                <w:t>-Модель с идеальной точкой</w:t>
                              </w:r>
                            </w:p>
                          </w:txbxContent>
                        </wps:txbx>
                        <wps:bodyPr rot="0" vert="horz" wrap="square" lIns="91440" tIns="45720" rIns="91440" bIns="45720" anchor="ctr" anchorCtr="0" upright="1">
                          <a:noAutofit/>
                        </wps:bodyPr>
                      </wps:wsp>
                      <wps:wsp>
                        <wps:cNvPr id="6" name="Прямоугольник 297"/>
                        <wps:cNvSpPr>
                          <a:spLocks noChangeArrowheads="1"/>
                        </wps:cNvSpPr>
                        <wps:spPr bwMode="auto">
                          <a:xfrm>
                            <a:off x="3004813" y="2111405"/>
                            <a:ext cx="1576107" cy="2487305"/>
                          </a:xfrm>
                          <a:prstGeom prst="rect">
                            <a:avLst/>
                          </a:prstGeom>
                          <a:solidFill>
                            <a:srgbClr val="FFFFFF"/>
                          </a:solidFill>
                          <a:ln w="9525">
                            <a:solidFill>
                              <a:srgbClr val="000000"/>
                            </a:solidFill>
                            <a:miter lim="800000"/>
                            <a:headEnd/>
                            <a:tailEnd/>
                          </a:ln>
                        </wps:spPr>
                        <wps:txbx>
                          <w:txbxContent>
                            <w:p w:rsidR="00092444" w:rsidRDefault="00092444" w:rsidP="00092444">
                              <w:pPr>
                                <w:pStyle w:val="a6"/>
                                <w:jc w:val="center"/>
                                <w:rPr>
                                  <w:rFonts w:cs="Arial"/>
                                  <w:sz w:val="22"/>
                                  <w:szCs w:val="22"/>
                                </w:rPr>
                              </w:pPr>
                              <w:r w:rsidRPr="00426350">
                                <w:rPr>
                                  <w:rFonts w:cs="Arial"/>
                                  <w:sz w:val="22"/>
                                  <w:szCs w:val="22"/>
                                </w:rPr>
                                <w:t>-Рейтинговая оценка</w:t>
                              </w:r>
                            </w:p>
                            <w:p w:rsidR="00092444" w:rsidRPr="00426350" w:rsidRDefault="00092444" w:rsidP="00092444">
                              <w:pPr>
                                <w:pStyle w:val="a6"/>
                                <w:jc w:val="center"/>
                                <w:rPr>
                                  <w:rFonts w:cs="Arial"/>
                                  <w:sz w:val="22"/>
                                  <w:szCs w:val="22"/>
                                </w:rPr>
                              </w:pPr>
                              <w:r w:rsidRPr="00426350">
                                <w:rPr>
                                  <w:rFonts w:cs="Arial"/>
                                  <w:sz w:val="22"/>
                                  <w:szCs w:val="22"/>
                                </w:rPr>
                                <w:t>-Оценка на основе доли рынка</w:t>
                              </w:r>
                            </w:p>
                            <w:p w:rsidR="00092444" w:rsidRPr="00426350" w:rsidRDefault="00092444" w:rsidP="00092444">
                              <w:pPr>
                                <w:pStyle w:val="a6"/>
                                <w:jc w:val="center"/>
                                <w:rPr>
                                  <w:rFonts w:cs="Arial"/>
                                  <w:sz w:val="22"/>
                                  <w:szCs w:val="22"/>
                                </w:rPr>
                              </w:pPr>
                              <w:r w:rsidRPr="00426350">
                                <w:rPr>
                                  <w:rFonts w:cs="Arial"/>
                                  <w:sz w:val="22"/>
                                  <w:szCs w:val="22"/>
                                </w:rPr>
                                <w:t>-Оценка на основе потребительской стоимости</w:t>
                              </w:r>
                            </w:p>
                            <w:p w:rsidR="00092444" w:rsidRPr="00426350" w:rsidRDefault="00092444" w:rsidP="00092444">
                              <w:pPr>
                                <w:pStyle w:val="a6"/>
                                <w:jc w:val="center"/>
                                <w:rPr>
                                  <w:rFonts w:cs="Arial"/>
                                  <w:sz w:val="22"/>
                                  <w:szCs w:val="22"/>
                                </w:rPr>
                              </w:pPr>
                              <w:r w:rsidRPr="00426350">
                                <w:rPr>
                                  <w:rFonts w:cs="Arial"/>
                                  <w:sz w:val="22"/>
                                  <w:szCs w:val="22"/>
                                </w:rPr>
                                <w:t>-Оценка на основе теории эффективной конкуренции</w:t>
                              </w:r>
                            </w:p>
                          </w:txbxContent>
                        </wps:txbx>
                        <wps:bodyPr rot="0" vert="horz" wrap="square" lIns="91440" tIns="45720" rIns="91440" bIns="45720" anchor="ctr" anchorCtr="0" upright="1">
                          <a:noAutofit/>
                        </wps:bodyPr>
                      </wps:wsp>
                      <wps:wsp>
                        <wps:cNvPr id="7" name="Прямоугольник 298"/>
                        <wps:cNvSpPr>
                          <a:spLocks noChangeArrowheads="1"/>
                        </wps:cNvSpPr>
                        <wps:spPr bwMode="auto">
                          <a:xfrm>
                            <a:off x="1386206" y="5449612"/>
                            <a:ext cx="3194713" cy="1269303"/>
                          </a:xfrm>
                          <a:prstGeom prst="rect">
                            <a:avLst/>
                          </a:prstGeom>
                          <a:solidFill>
                            <a:srgbClr val="FFFFFF"/>
                          </a:solidFill>
                          <a:ln w="9525">
                            <a:solidFill>
                              <a:srgbClr val="000000"/>
                            </a:solidFill>
                            <a:miter lim="800000"/>
                            <a:headEnd/>
                            <a:tailEnd/>
                          </a:ln>
                        </wps:spPr>
                        <wps:txbx>
                          <w:txbxContent>
                            <w:p w:rsidR="00092444" w:rsidRPr="00426350" w:rsidRDefault="00092444" w:rsidP="00092444">
                              <w:pPr>
                                <w:pStyle w:val="a6"/>
                                <w:jc w:val="center"/>
                                <w:rPr>
                                  <w:rFonts w:cs="Arial"/>
                                  <w:sz w:val="22"/>
                                  <w:szCs w:val="22"/>
                                </w:rPr>
                              </w:pPr>
                              <w:r w:rsidRPr="00426350">
                                <w:rPr>
                                  <w:rFonts w:cs="Arial"/>
                                  <w:sz w:val="22"/>
                                  <w:szCs w:val="22"/>
                                </w:rPr>
                                <w:t>-Матрица БКГ</w:t>
                              </w:r>
                            </w:p>
                            <w:p w:rsidR="00092444" w:rsidRPr="00426350" w:rsidRDefault="00092444" w:rsidP="00092444">
                              <w:pPr>
                                <w:pStyle w:val="a6"/>
                                <w:jc w:val="center"/>
                                <w:rPr>
                                  <w:rFonts w:cs="Arial"/>
                                  <w:sz w:val="22"/>
                                  <w:szCs w:val="22"/>
                                </w:rPr>
                              </w:pPr>
                              <w:r w:rsidRPr="00426350">
                                <w:rPr>
                                  <w:rFonts w:cs="Arial"/>
                                  <w:sz w:val="22"/>
                                  <w:szCs w:val="22"/>
                                </w:rPr>
                                <w:t xml:space="preserve">-Модель </w:t>
                              </w:r>
                              <w:r>
                                <w:rPr>
                                  <w:rFonts w:cs="Arial"/>
                                  <w:sz w:val="22"/>
                                  <w:szCs w:val="22"/>
                                </w:rPr>
                                <w:t>"</w:t>
                              </w:r>
                              <w:r w:rsidRPr="00426350">
                                <w:rPr>
                                  <w:rFonts w:cs="Arial"/>
                                  <w:sz w:val="22"/>
                                  <w:szCs w:val="22"/>
                                </w:rPr>
                                <w:t>Привлекательность р</w:t>
                              </w:r>
                              <w:r>
                                <w:rPr>
                                  <w:rFonts w:cs="Arial"/>
                                  <w:sz w:val="22"/>
                                  <w:szCs w:val="22"/>
                                </w:rPr>
                                <w:t>ынка – преимущества конкуренции"</w:t>
                              </w:r>
                            </w:p>
                            <w:p w:rsidR="00092444" w:rsidRPr="00426350" w:rsidRDefault="00092444" w:rsidP="00092444">
                              <w:pPr>
                                <w:pStyle w:val="a6"/>
                                <w:jc w:val="center"/>
                                <w:rPr>
                                  <w:rFonts w:cs="Arial"/>
                                  <w:sz w:val="22"/>
                                  <w:szCs w:val="22"/>
                                </w:rPr>
                              </w:pPr>
                              <w:r w:rsidRPr="00426350">
                                <w:rPr>
                                  <w:rFonts w:cs="Arial"/>
                                  <w:sz w:val="22"/>
                                  <w:szCs w:val="22"/>
                                </w:rPr>
                                <w:t>-Матрица Портера</w:t>
                              </w:r>
                            </w:p>
                            <w:p w:rsidR="00092444" w:rsidRPr="00426350" w:rsidRDefault="00092444" w:rsidP="00092444">
                              <w:pPr>
                                <w:pStyle w:val="a6"/>
                                <w:jc w:val="center"/>
                                <w:rPr>
                                  <w:rFonts w:cs="Arial"/>
                                  <w:sz w:val="22"/>
                                  <w:szCs w:val="22"/>
                                </w:rPr>
                              </w:pPr>
                              <w:r w:rsidRPr="00426350">
                                <w:rPr>
                                  <w:rFonts w:cs="Arial"/>
                                  <w:sz w:val="22"/>
                                  <w:szCs w:val="22"/>
                                </w:rPr>
                                <w:t xml:space="preserve">-Многоугольник конкурентоспособности </w:t>
                              </w:r>
                            </w:p>
                          </w:txbxContent>
                        </wps:txbx>
                        <wps:bodyPr rot="0" vert="horz" wrap="square" lIns="91440" tIns="45720" rIns="91440" bIns="45720" anchor="ctr" anchorCtr="0" upright="1">
                          <a:noAutofit/>
                        </wps:bodyPr>
                      </wps:wsp>
                      <wps:wsp>
                        <wps:cNvPr id="8" name="Прямоугольник 24"/>
                        <wps:cNvSpPr>
                          <a:spLocks noChangeArrowheads="1"/>
                        </wps:cNvSpPr>
                        <wps:spPr bwMode="auto">
                          <a:xfrm>
                            <a:off x="1386206" y="4831111"/>
                            <a:ext cx="3227714" cy="391801"/>
                          </a:xfrm>
                          <a:prstGeom prst="rect">
                            <a:avLst/>
                          </a:prstGeom>
                          <a:solidFill>
                            <a:srgbClr val="FFFFFF"/>
                          </a:solidFill>
                          <a:ln w="25400">
                            <a:solidFill>
                              <a:srgbClr val="000000"/>
                            </a:solidFill>
                            <a:miter lim="800000"/>
                            <a:headEnd/>
                            <a:tailEnd/>
                          </a:ln>
                        </wps:spPr>
                        <wps:txbx>
                          <w:txbxContent>
                            <w:p w:rsidR="00092444" w:rsidRPr="004647B2" w:rsidRDefault="00092444" w:rsidP="00092444">
                              <w:pPr>
                                <w:pStyle w:val="a6"/>
                                <w:jc w:val="center"/>
                              </w:pPr>
                              <w:r w:rsidRPr="004647B2">
                                <w:rPr>
                                  <w:rFonts w:cs="Arial"/>
                                  <w:b/>
                                  <w:bCs/>
                                </w:rPr>
                                <w:t xml:space="preserve">Графические методы и модели </w:t>
                              </w:r>
                            </w:p>
                          </w:txbxContent>
                        </wps:txbx>
                        <wps:bodyPr rot="0" vert="horz" wrap="square" lIns="91440" tIns="45720" rIns="91440" bIns="45720" anchor="ctr" anchorCtr="0" upright="1">
                          <a:noAutofit/>
                        </wps:bodyPr>
                      </wps:wsp>
                      <wps:wsp>
                        <wps:cNvPr id="9" name="Соединительная линия уступом 26"/>
                        <wps:cNvCnPr>
                          <a:cxnSpLocks noChangeShapeType="1"/>
                        </wps:cNvCnPr>
                        <wps:spPr bwMode="auto">
                          <a:xfrm rot="10800000" flipV="1">
                            <a:off x="1578807" y="348701"/>
                            <a:ext cx="220001" cy="50300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Соединительная линия уступом 27"/>
                        <wps:cNvCnPr>
                          <a:cxnSpLocks noChangeShapeType="1"/>
                        </wps:cNvCnPr>
                        <wps:spPr bwMode="auto">
                          <a:xfrm>
                            <a:off x="4190418" y="348701"/>
                            <a:ext cx="207301" cy="50370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29"/>
                        <wps:cNvCnPr>
                          <a:cxnSpLocks noChangeShapeType="1"/>
                        </wps:cNvCnPr>
                        <wps:spPr bwMode="auto">
                          <a:xfrm rot="10800000" flipH="1" flipV="1">
                            <a:off x="608603" y="1054402"/>
                            <a:ext cx="777003" cy="1890904"/>
                          </a:xfrm>
                          <a:prstGeom prst="bentConnector3">
                            <a:avLst>
                              <a:gd name="adj1" fmla="val -2942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30"/>
                        <wps:cNvCnPr>
                          <a:cxnSpLocks noChangeShapeType="1"/>
                        </wps:cNvCnPr>
                        <wps:spPr bwMode="auto">
                          <a:xfrm rot="10800000" flipH="1" flipV="1">
                            <a:off x="608603" y="1054502"/>
                            <a:ext cx="798303" cy="4112709"/>
                          </a:xfrm>
                          <a:prstGeom prst="bentConnector3">
                            <a:avLst>
                              <a:gd name="adj1" fmla="val -28639"/>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32"/>
                        <wps:cNvCnPr>
                          <a:cxnSpLocks noChangeShapeType="1"/>
                        </wps:cNvCnPr>
                        <wps:spPr bwMode="auto">
                          <a:xfrm flipH="1">
                            <a:off x="4580919" y="1054702"/>
                            <a:ext cx="786703" cy="1890404"/>
                          </a:xfrm>
                          <a:prstGeom prst="bentConnector3">
                            <a:avLst>
                              <a:gd name="adj1" fmla="val -2905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33"/>
                        <wps:cNvCnPr>
                          <a:cxnSpLocks noChangeShapeType="1"/>
                        </wps:cNvCnPr>
                        <wps:spPr bwMode="auto">
                          <a:xfrm flipH="1">
                            <a:off x="4601919" y="1054902"/>
                            <a:ext cx="765903" cy="4112309"/>
                          </a:xfrm>
                          <a:prstGeom prst="bentConnector3">
                            <a:avLst>
                              <a:gd name="adj1" fmla="val -2984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35"/>
                        <wps:cNvCnPr>
                          <a:cxnSpLocks noChangeShapeType="1"/>
                        </wps:cNvCnPr>
                        <wps:spPr bwMode="auto">
                          <a:xfrm flipH="1">
                            <a:off x="2160009" y="1859904"/>
                            <a:ext cx="839504" cy="25090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36"/>
                        <wps:cNvCnPr>
                          <a:cxnSpLocks noChangeShapeType="1"/>
                        </wps:cNvCnPr>
                        <wps:spPr bwMode="auto">
                          <a:xfrm>
                            <a:off x="2999513" y="1859904"/>
                            <a:ext cx="793303" cy="25120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Прямая со стрелкой 37"/>
                        <wps:cNvCnPr>
                          <a:cxnSpLocks noChangeShapeType="1"/>
                        </wps:cNvCnPr>
                        <wps:spPr bwMode="auto">
                          <a:xfrm>
                            <a:off x="2994013" y="5222911"/>
                            <a:ext cx="5100" cy="22670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18" o:spid="_x0000_s1026" editas="canvas" style="width:467.75pt;height:537.45pt;mso-position-horizontal-relative:char;mso-position-vertical-relative:line" coordsize="59404,6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8256;visibility:visible;mso-wrap-style:square">
                  <v:fill o:detectmouseclick="t"/>
                  <v:path o:connecttype="none"/>
                </v:shape>
                <v:rect id="Прямоугольник 288" o:spid="_x0000_s1028" style="position:absolute;left:17988;top:623;width:23916;height:5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UfMEA&#10;AADaAAAADwAAAGRycy9kb3ducmV2LnhtbERPTWvCQBC9F/wPywje6q45SJu6hqJIBWkhppfehuw0&#10;Cc3Oht1tjP/eFQo9DY/3OZtisr0YyYfOsYbVUoEgrp3puNHwWR0en0CEiGywd0warhSg2M4eNpgb&#10;d+GSxnNsRArhkKOGNsYhlzLULVkMSzcQJ+7beYsxQd9I4/GSwm0vM6XW0mLHqaHFgXYt1T/nX6vB&#10;ZfWbLyuZvVf77rn8cqr/OCmtF/Pp9QVEpCn+i//cR5Pmw/2V+5X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FHzBAAAA2gAAAA8AAAAAAAAAAAAAAAAAmAIAAGRycy9kb3du&#10;cmV2LnhtbFBLBQYAAAAABAAEAPUAAACGAwAAAAA=&#10;" strokeweight="2pt">
                  <v:textbox>
                    <w:txbxContent>
                      <w:p w:rsidR="00092444" w:rsidRPr="00426350" w:rsidRDefault="00092444" w:rsidP="00092444">
                        <w:pPr>
                          <w:jc w:val="center"/>
                          <w:rPr>
                            <w:rFonts w:ascii="Arial" w:hAnsi="Arial" w:cs="Arial"/>
                          </w:rPr>
                        </w:pPr>
                        <w:r w:rsidRPr="00426350">
                          <w:rPr>
                            <w:rFonts w:ascii="Arial" w:hAnsi="Arial" w:cs="Arial"/>
                          </w:rPr>
                          <w:t>Методы и модели оценки конкурентоспособности</w:t>
                        </w:r>
                      </w:p>
                    </w:txbxContent>
                  </v:textbox>
                </v:rect>
                <v:rect id="Прямоугольник 289" o:spid="_x0000_s1029" style="position:absolute;left:6086;top:8517;width:19404;height:4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092444" w:rsidRPr="00426350" w:rsidRDefault="00092444" w:rsidP="00092444">
                        <w:pPr>
                          <w:pStyle w:val="a6"/>
                          <w:jc w:val="center"/>
                          <w:rPr>
                            <w:rFonts w:cs="Arial"/>
                          </w:rPr>
                        </w:pPr>
                        <w:r w:rsidRPr="00426350">
                          <w:rPr>
                            <w:rFonts w:cs="Arial"/>
                          </w:rPr>
                          <w:t>Предприятие</w:t>
                        </w:r>
                      </w:p>
                    </w:txbxContent>
                  </v:textbox>
                </v:rect>
                <v:rect id="Прямоугольник 290" o:spid="_x0000_s1030" style="position:absolute;left:34276;top:8524;width:19402;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092444" w:rsidRPr="00426350" w:rsidRDefault="00092444" w:rsidP="00092444">
                        <w:pPr>
                          <w:pStyle w:val="a6"/>
                          <w:jc w:val="center"/>
                          <w:rPr>
                            <w:rFonts w:cs="Arial"/>
                          </w:rPr>
                        </w:pPr>
                        <w:r w:rsidRPr="00426350">
                          <w:rPr>
                            <w:rFonts w:cs="Arial"/>
                          </w:rPr>
                          <w:t>Продукция предприятия</w:t>
                        </w:r>
                      </w:p>
                    </w:txbxContent>
                  </v:textbox>
                </v:rect>
                <v:rect id="Прямоугольник 291" o:spid="_x0000_s1031" style="position:absolute;left:13854;top:14446;width:32281;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rsidR="00092444" w:rsidRPr="00426350" w:rsidRDefault="00092444" w:rsidP="00092444">
                        <w:pPr>
                          <w:pStyle w:val="a6"/>
                          <w:jc w:val="center"/>
                          <w:rPr>
                            <w:rFonts w:cs="Arial"/>
                            <w:b/>
                          </w:rPr>
                        </w:pPr>
                        <w:r w:rsidRPr="00426350">
                          <w:rPr>
                            <w:rFonts w:cs="Arial"/>
                            <w:b/>
                          </w:rPr>
                          <w:t xml:space="preserve">Аналитические методы и модели </w:t>
                        </w:r>
                      </w:p>
                    </w:txbxContent>
                  </v:textbox>
                </v:rect>
                <v:rect id="Прямоугольник 296" o:spid="_x0000_s1032" style="position:absolute;left:13856;top:21107;width:15487;height:24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092444" w:rsidRPr="00426350" w:rsidRDefault="00092444" w:rsidP="00092444">
                        <w:pPr>
                          <w:pStyle w:val="a6"/>
                          <w:jc w:val="center"/>
                          <w:rPr>
                            <w:rFonts w:cs="Arial"/>
                            <w:sz w:val="22"/>
                            <w:szCs w:val="22"/>
                          </w:rPr>
                        </w:pPr>
                        <w:r w:rsidRPr="00426350">
                          <w:rPr>
                            <w:rFonts w:cs="Arial"/>
                            <w:sz w:val="22"/>
                            <w:szCs w:val="22"/>
                          </w:rPr>
                          <w:t>-Модель Розенберга</w:t>
                        </w:r>
                      </w:p>
                      <w:p w:rsidR="00092444" w:rsidRPr="00426350" w:rsidRDefault="00092444" w:rsidP="00092444">
                        <w:pPr>
                          <w:pStyle w:val="a6"/>
                          <w:jc w:val="center"/>
                          <w:rPr>
                            <w:rFonts w:cs="Arial"/>
                            <w:sz w:val="22"/>
                            <w:szCs w:val="22"/>
                          </w:rPr>
                        </w:pPr>
                        <w:r w:rsidRPr="00426350">
                          <w:rPr>
                            <w:rFonts w:cs="Arial"/>
                            <w:sz w:val="22"/>
                            <w:szCs w:val="22"/>
                          </w:rPr>
                          <w:t>-Интегральный показатель</w:t>
                        </w:r>
                      </w:p>
                      <w:p w:rsidR="00092444" w:rsidRPr="00426350" w:rsidRDefault="00092444" w:rsidP="00092444">
                        <w:pPr>
                          <w:pStyle w:val="a6"/>
                          <w:jc w:val="center"/>
                          <w:rPr>
                            <w:rFonts w:cs="Arial"/>
                            <w:sz w:val="22"/>
                            <w:szCs w:val="22"/>
                          </w:rPr>
                        </w:pPr>
                        <w:r w:rsidRPr="00426350">
                          <w:rPr>
                            <w:rFonts w:cs="Arial"/>
                            <w:sz w:val="22"/>
                            <w:szCs w:val="22"/>
                          </w:rPr>
                          <w:t>-Оценка конкурен</w:t>
                        </w:r>
                        <w:r>
                          <w:rPr>
                            <w:rFonts w:cs="Arial"/>
                            <w:sz w:val="22"/>
                            <w:szCs w:val="22"/>
                          </w:rPr>
                          <w:t>тоспособности на основе уровня</w:t>
                        </w:r>
                        <w:r w:rsidRPr="00426350">
                          <w:rPr>
                            <w:rFonts w:cs="Arial"/>
                            <w:sz w:val="22"/>
                            <w:szCs w:val="22"/>
                          </w:rPr>
                          <w:t xml:space="preserve"> продаж</w:t>
                        </w:r>
                      </w:p>
                      <w:p w:rsidR="00092444" w:rsidRPr="00426350" w:rsidRDefault="00092444" w:rsidP="00092444">
                        <w:pPr>
                          <w:pStyle w:val="a6"/>
                          <w:jc w:val="center"/>
                          <w:rPr>
                            <w:rFonts w:cs="Arial"/>
                            <w:sz w:val="22"/>
                            <w:szCs w:val="22"/>
                          </w:rPr>
                        </w:pPr>
                        <w:r w:rsidRPr="00426350">
                          <w:rPr>
                            <w:rFonts w:cs="Arial"/>
                            <w:sz w:val="22"/>
                            <w:szCs w:val="22"/>
                          </w:rPr>
                          <w:t>-Модель с идеальной точкой</w:t>
                        </w:r>
                      </w:p>
                    </w:txbxContent>
                  </v:textbox>
                </v:rect>
                <v:rect id="Прямоугольник 297" o:spid="_x0000_s1033" style="position:absolute;left:30048;top:21114;width:15761;height:2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092444" w:rsidRDefault="00092444" w:rsidP="00092444">
                        <w:pPr>
                          <w:pStyle w:val="a6"/>
                          <w:jc w:val="center"/>
                          <w:rPr>
                            <w:rFonts w:cs="Arial"/>
                            <w:sz w:val="22"/>
                            <w:szCs w:val="22"/>
                          </w:rPr>
                        </w:pPr>
                        <w:r w:rsidRPr="00426350">
                          <w:rPr>
                            <w:rFonts w:cs="Arial"/>
                            <w:sz w:val="22"/>
                            <w:szCs w:val="22"/>
                          </w:rPr>
                          <w:t>-Рейтинговая оценка</w:t>
                        </w:r>
                      </w:p>
                      <w:p w:rsidR="00092444" w:rsidRPr="00426350" w:rsidRDefault="00092444" w:rsidP="00092444">
                        <w:pPr>
                          <w:pStyle w:val="a6"/>
                          <w:jc w:val="center"/>
                          <w:rPr>
                            <w:rFonts w:cs="Arial"/>
                            <w:sz w:val="22"/>
                            <w:szCs w:val="22"/>
                          </w:rPr>
                        </w:pPr>
                        <w:r w:rsidRPr="00426350">
                          <w:rPr>
                            <w:rFonts w:cs="Arial"/>
                            <w:sz w:val="22"/>
                            <w:szCs w:val="22"/>
                          </w:rPr>
                          <w:t>-Оценка на основе доли рынка</w:t>
                        </w:r>
                      </w:p>
                      <w:p w:rsidR="00092444" w:rsidRPr="00426350" w:rsidRDefault="00092444" w:rsidP="00092444">
                        <w:pPr>
                          <w:pStyle w:val="a6"/>
                          <w:jc w:val="center"/>
                          <w:rPr>
                            <w:rFonts w:cs="Arial"/>
                            <w:sz w:val="22"/>
                            <w:szCs w:val="22"/>
                          </w:rPr>
                        </w:pPr>
                        <w:r w:rsidRPr="00426350">
                          <w:rPr>
                            <w:rFonts w:cs="Arial"/>
                            <w:sz w:val="22"/>
                            <w:szCs w:val="22"/>
                          </w:rPr>
                          <w:t>-Оценка на основе потребительской стоимости</w:t>
                        </w:r>
                      </w:p>
                      <w:p w:rsidR="00092444" w:rsidRPr="00426350" w:rsidRDefault="00092444" w:rsidP="00092444">
                        <w:pPr>
                          <w:pStyle w:val="a6"/>
                          <w:jc w:val="center"/>
                          <w:rPr>
                            <w:rFonts w:cs="Arial"/>
                            <w:sz w:val="22"/>
                            <w:szCs w:val="22"/>
                          </w:rPr>
                        </w:pPr>
                        <w:r w:rsidRPr="00426350">
                          <w:rPr>
                            <w:rFonts w:cs="Arial"/>
                            <w:sz w:val="22"/>
                            <w:szCs w:val="22"/>
                          </w:rPr>
                          <w:t>-Оценка на основе теории эффективной конкуренции</w:t>
                        </w:r>
                      </w:p>
                    </w:txbxContent>
                  </v:textbox>
                </v:rect>
                <v:rect id="Прямоугольник 298" o:spid="_x0000_s1034" style="position:absolute;left:13862;top:54496;width:31947;height:1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092444" w:rsidRPr="00426350" w:rsidRDefault="00092444" w:rsidP="00092444">
                        <w:pPr>
                          <w:pStyle w:val="a6"/>
                          <w:jc w:val="center"/>
                          <w:rPr>
                            <w:rFonts w:cs="Arial"/>
                            <w:sz w:val="22"/>
                            <w:szCs w:val="22"/>
                          </w:rPr>
                        </w:pPr>
                        <w:r w:rsidRPr="00426350">
                          <w:rPr>
                            <w:rFonts w:cs="Arial"/>
                            <w:sz w:val="22"/>
                            <w:szCs w:val="22"/>
                          </w:rPr>
                          <w:t>-Матрица БКГ</w:t>
                        </w:r>
                      </w:p>
                      <w:p w:rsidR="00092444" w:rsidRPr="00426350" w:rsidRDefault="00092444" w:rsidP="00092444">
                        <w:pPr>
                          <w:pStyle w:val="a6"/>
                          <w:jc w:val="center"/>
                          <w:rPr>
                            <w:rFonts w:cs="Arial"/>
                            <w:sz w:val="22"/>
                            <w:szCs w:val="22"/>
                          </w:rPr>
                        </w:pPr>
                        <w:r w:rsidRPr="00426350">
                          <w:rPr>
                            <w:rFonts w:cs="Arial"/>
                            <w:sz w:val="22"/>
                            <w:szCs w:val="22"/>
                          </w:rPr>
                          <w:t xml:space="preserve">-Модель </w:t>
                        </w:r>
                        <w:r>
                          <w:rPr>
                            <w:rFonts w:cs="Arial"/>
                            <w:sz w:val="22"/>
                            <w:szCs w:val="22"/>
                          </w:rPr>
                          <w:t>"</w:t>
                        </w:r>
                        <w:r w:rsidRPr="00426350">
                          <w:rPr>
                            <w:rFonts w:cs="Arial"/>
                            <w:sz w:val="22"/>
                            <w:szCs w:val="22"/>
                          </w:rPr>
                          <w:t>Привлекательность р</w:t>
                        </w:r>
                        <w:r>
                          <w:rPr>
                            <w:rFonts w:cs="Arial"/>
                            <w:sz w:val="22"/>
                            <w:szCs w:val="22"/>
                          </w:rPr>
                          <w:t>ынка – преимущества конкуренции"</w:t>
                        </w:r>
                      </w:p>
                      <w:p w:rsidR="00092444" w:rsidRPr="00426350" w:rsidRDefault="00092444" w:rsidP="00092444">
                        <w:pPr>
                          <w:pStyle w:val="a6"/>
                          <w:jc w:val="center"/>
                          <w:rPr>
                            <w:rFonts w:cs="Arial"/>
                            <w:sz w:val="22"/>
                            <w:szCs w:val="22"/>
                          </w:rPr>
                        </w:pPr>
                        <w:r w:rsidRPr="00426350">
                          <w:rPr>
                            <w:rFonts w:cs="Arial"/>
                            <w:sz w:val="22"/>
                            <w:szCs w:val="22"/>
                          </w:rPr>
                          <w:t>-Матрица Портера</w:t>
                        </w:r>
                      </w:p>
                      <w:p w:rsidR="00092444" w:rsidRPr="00426350" w:rsidRDefault="00092444" w:rsidP="00092444">
                        <w:pPr>
                          <w:pStyle w:val="a6"/>
                          <w:jc w:val="center"/>
                          <w:rPr>
                            <w:rFonts w:cs="Arial"/>
                            <w:sz w:val="22"/>
                            <w:szCs w:val="22"/>
                          </w:rPr>
                        </w:pPr>
                        <w:r w:rsidRPr="00426350">
                          <w:rPr>
                            <w:rFonts w:cs="Arial"/>
                            <w:sz w:val="22"/>
                            <w:szCs w:val="22"/>
                          </w:rPr>
                          <w:t xml:space="preserve">-Многоугольник конкурентоспособности </w:t>
                        </w:r>
                      </w:p>
                    </w:txbxContent>
                  </v:textbox>
                </v:rect>
                <v:rect id="Прямоугольник 24" o:spid="_x0000_s1035" style="position:absolute;left:13862;top:48311;width:32277;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94cAA&#10;AADaAAAADwAAAGRycy9kb3ducmV2LnhtbERPPWvDMBDdA/kP4gLdEqkeQutGNqEhNBBasN2l22Fd&#10;bRPrZCQ1cf99NBQ6Pt73rpztKK7kw+BYw+NGgSBunRm40/DZHNdPIEJENjg6Jg2/FKAslosd5sbd&#10;uKJrHTuRQjjkqKGPccqlDG1PFsPGTcSJ+3beYkzQd9J4vKVwO8pMqa20OHBq6HGi157aS/1jNbis&#10;ffNVI7P35jA8V19OjR9npfXDat6/gIg0x3/xn/tkNKSt6Uq6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94cAAAADaAAAADwAAAAAAAAAAAAAAAACYAgAAZHJzL2Rvd25y&#10;ZXYueG1sUEsFBgAAAAAEAAQA9QAAAIUDAAAAAA==&#10;" strokeweight="2pt">
                  <v:textbox>
                    <w:txbxContent>
                      <w:p w:rsidR="00092444" w:rsidRPr="004647B2" w:rsidRDefault="00092444" w:rsidP="00092444">
                        <w:pPr>
                          <w:pStyle w:val="a6"/>
                          <w:jc w:val="center"/>
                        </w:pPr>
                        <w:r w:rsidRPr="004647B2">
                          <w:rPr>
                            <w:rFonts w:cs="Arial"/>
                            <w:b/>
                            <w:bCs/>
                          </w:rPr>
                          <w:t xml:space="preserve">Графические методы и модели </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26" o:spid="_x0000_s1036" type="#_x0000_t33" style="position:absolute;left:15788;top:3487;width:2200;height:50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Cy8sQAAADaAAAADwAAAGRycy9kb3ducmV2LnhtbESPT4vCMBTE78J+h/AWvGm6IlqrURZR&#10;1IMH/7Do7dE822LzUpuo9dtvFoQ9DjPzG2Yya0wpHlS7wrKCr24Egji1uuBMwfGw7MQgnEfWWFom&#10;BS9yMJt+tCaYaPvkHT32PhMBwi5BBbn3VSKlS3My6Lq2Ig7exdYGfZB1JnWNzwA3pexF0UAaLDgs&#10;5FjRPKf0ur8bBYXz5+HP4bhYneO0PJnFdtO/jZRqfzbfYxCeGv8ffrfXWsEI/q6EG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LLyxAAAANoAAAAPAAAAAAAAAAAA&#10;AAAAAKECAABkcnMvZG93bnJldi54bWxQSwUGAAAAAAQABAD5AAAAkgMAAAAA&#10;" strokeweight="1pt">
                  <v:stroke endarrow="block"/>
                </v:shape>
                <v:shape id="Соединительная линия уступом 27" o:spid="_x0000_s1037" type="#_x0000_t33" style="position:absolute;left:41904;top:3487;width:2073;height:50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4AcUAAADbAAAADwAAAGRycy9kb3ducmV2LnhtbESPQWvCQBCF7wX/wzIFb3XTCFaiq1Sp&#10;INgK2uJ5yE6zwexsml01/vvOodDbDO/Ne9/Ml71v1JW6WAc28DzKQBGXwdZcGfj63DxNQcWEbLEJ&#10;TAbuFGG5GDzMsbDhxge6HlOlJIRjgQZcSm2hdSwdeYyj0BKL9h06j0nWrtK2w5uE+0bnWTbRHmuW&#10;BoctrR2V5+PFG/h4We/eLvd8kzfn9rT7GceV278bM3zsX2egEvXp3/x3vbWCL/Tyiw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y4AcUAAADbAAAADwAAAAAAAAAA&#10;AAAAAAChAgAAZHJzL2Rvd25yZXYueG1sUEsFBgAAAAAEAAQA+QAAAJMDA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8" type="#_x0000_t34" style="position:absolute;left:6086;top:10544;width:7770;height:1890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hX8EAAADbAAAADwAAAGRycy9kb3ducmV2LnhtbERPS4vCMBC+C/6HMIIX0bQKItUoVRDW&#10;vflAPI7N2BabSW2y2v33ZmHB23x8z1msWlOJJzWutKwgHkUgiDOrS84VnI7b4QyE88gaK8uk4Jcc&#10;rJbdzgITbV+8p+fB5yKEsEtQQeF9nUjpsoIMupGtiQN3s41BH2CTS93gK4SbSo6jaCoNlhwaCqxp&#10;U1B2P/wYBY90v7t+jyeP2OFlPVif7zLdnpTq99p0DsJT6z/if/eXDvNj+PslH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FfwQAAANsAAAAPAAAAAAAAAAAAAAAA&#10;AKECAABkcnMvZG93bnJldi54bWxQSwUGAAAAAAQABAD5AAAAjwMAAAAA&#10;" adj="-6355" strokeweight="1pt">
                  <v:stroke endarrow="block"/>
                </v:shape>
                <v:shape id="Соединительная линия уступом 30" o:spid="_x0000_s1039" type="#_x0000_t34" style="position:absolute;left:6086;top:10545;width:7983;height:4112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cS8EAAADbAAAADwAAAGRycy9kb3ducmV2LnhtbERPTYvCMBC9L/gfwgh7W1M9iFSjiCAI&#10;Ky66gtchGdvSZlKTbO3urzeCsLd5vM9ZrHrbiI58qBwrGI8yEMTamYoLBefv7ccMRIjIBhvHpOCX&#10;AqyWg7cF5sbd+UjdKRYihXDIUUEZY5tLGXRJFsPItcSJuzpvMSboC2k83lO4beQky6bSYsWpocSW&#10;NiXp+vRjFXg9rY+bvq7Pnf67fH0e3G1/c0q9D/v1HESkPv6LX+6dSfMn8Pw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pxLwQAAANsAAAAPAAAAAAAAAAAAAAAA&#10;AKECAABkcnMvZG93bnJldi54bWxQSwUGAAAAAAQABAD5AAAAjwMAAAAA&#10;" adj="-6186" strokeweight="1pt">
                  <v:stroke endarrow="block"/>
                </v:shape>
                <v:shape id="Соединительная линия уступом 32" o:spid="_x0000_s1040" type="#_x0000_t34" style="position:absolute;left:45809;top:10547;width:7867;height:1890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KcsQAAADbAAAADwAAAGRycy9kb3ducmV2LnhtbERPTWvCQBC9F/oflil4Ed1oS5XUVUSQ&#10;VntpVdoex+yYRLOzYXebpP++KxR6m8f7nNmiM5VoyPnSsoLRMAFBnFldcq7gsF8PpiB8QNZYWSYF&#10;P+RhMb+9mWGqbcvv1OxCLmII+xQVFCHUqZQ+K8igH9qaOHIn6wyGCF0utcM2hptKjpPkURosOTYU&#10;WNOqoOyy+zYK7Nez/NjuX/v9TeMeqvbz+HbeTpTq3XXLJxCBuvAv/nO/6Dj/Hq6/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wpyxAAAANsAAAAPAAAAAAAAAAAA&#10;AAAAAKECAABkcnMvZG93bnJldi54bWxQSwUGAAAAAAQABAD5AAAAkgMAAAAA&#10;" adj="-6276" strokeweight="1pt">
                  <v:stroke endarrow="block"/>
                </v:shape>
                <v:shape id="Соединительная линия уступом 33" o:spid="_x0000_s1041" type="#_x0000_t34" style="position:absolute;left:46019;top:10549;width:7659;height:4112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lcUAAADbAAAADwAAAGRycy9kb3ducmV2LnhtbERPS2vCQBC+F/oflil4q5tIEUldQysK&#10;VfHgA/Q4zU6TtNnZmF1j9Ne7hUJv8/E9Z5x2phItNa60rCDuRyCIM6tLzhXsd/PnEQjnkTVWlknB&#10;lRykk8eHMSbaXnhD7dbnIoSwS1BB4X2dSOmyggy6vq2JA/dlG4M+wCaXusFLCDeVHETRUBosOTQU&#10;WNO0oOxnezYK3j/z22K6mn0f1sfRabCPT7vWLZXqPXVvryA8df5f/Of+0GH+C/z+Eg6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ClcUAAADbAAAADwAAAAAAAAAA&#10;AAAAAAChAgAAZHJzL2Rvd25yZXYueG1sUEsFBgAAAAAEAAQA+QAAAJMDAAAAAA==&#10;" adj="-6447" strokeweight="1pt">
                  <v:stroke endarrow="block"/>
                </v:shape>
                <v:shapetype id="_x0000_t32" coordsize="21600,21600" o:spt="32" o:oned="t" path="m,l21600,21600e" filled="f">
                  <v:path arrowok="t" fillok="f" o:connecttype="none"/>
                  <o:lock v:ext="edit" shapetype="t"/>
                </v:shapetype>
                <v:shape id="Прямая со стрелкой 35" o:spid="_x0000_s1042" type="#_x0000_t32" style="position:absolute;left:21600;top:18599;width:8395;height:25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DWcMAAADbAAAADwAAAGRycy9kb3ducmV2LnhtbESPzYvCMBDF74L/QxjBm6aKX9s1igiC&#10;By9+Qfc2NLNtsZmUJGr9742wsLcZ3pv3e7Nct6YWD3K+sqxgNExAEOdWV1wouJx3gwUIH5A11pZJ&#10;wYs8rFfdzhJTbZ98pMcpFCKGsE9RQRlCk0rp85IM+qFtiKP2a53BEFdXSO3wGcNNLcdJMpMGK46E&#10;EhvalpTfTncTIc38R8+yjZPXS6bvZj6xh69MqX6v3XyDCNSGf/Pf9V7H+lP4/BIH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w1nDAAAA2wAAAA8AAAAAAAAAAAAA&#10;AAAAoQIAAGRycy9kb3ducmV2LnhtbFBLBQYAAAAABAAEAPkAAACRAwAAAAA=&#10;" strokeweight="1pt">
                  <v:stroke endarrow="block" joinstyle="miter"/>
                </v:shape>
                <v:shape id="Прямая со стрелкой 36" o:spid="_x0000_s1043" type="#_x0000_t32" style="position:absolute;left:29995;top:18599;width:7933;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xGMQAAADbAAAADwAAAGRycy9kb3ducmV2LnhtbESPzWrDMBCE74G+g9hAbrGchhrjRglp&#10;oRDaU508wNZa/8VaGUu13T59VQjktsvMzje7O8ymEyMNrrGsYBPFIIgLqxuuFFzOb+sUhPPIGjvL&#10;pOCHHBz2D4sdZtpO/Elj7isRQthlqKD2vs+kdEVNBl1ke+KglXYw6MM6VFIPOIVw08nHOE6kwYYD&#10;ocaeXmsqrvm3CRBsC/zdxk/p9HJ6b9t5/PiSpVKr5Xx8BuFp9nfz7fqkQ/0E/n8JA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EYxAAAANsAAAAPAAAAAAAAAAAA&#10;AAAAAKECAABkcnMvZG93bnJldi54bWxQSwUGAAAAAAQABAD5AAAAkgMAAAAA&#10;" strokeweight="1pt">
                  <v:stroke endarrow="block" joinstyle="miter"/>
                </v:shape>
                <v:shape id="Прямая со стрелкой 37" o:spid="_x0000_s1044" type="#_x0000_t32" style="position:absolute;left:29940;top:52229;width:51;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Ug8MAAADbAAAADwAAAGRycy9kb3ducmV2LnhtbESP3YrCMBCF7wXfIYywd5rqsirVKCoI&#10;sl7p+gBjM/bHZlKa2Hb36Y0g7N0M58z5zizXnSlFQ7XLLSsYjyIQxInVOacKLj/74RyE88gaS8uk&#10;4JccrFf93hJjbVs+UXP2qQgh7GJUkHlfxVK6JCODbmQr4qDdbG3Qh7VOpa6xDeGmlJMomkqDOQdC&#10;hhXtMkru54cJECwS/PuMvubt9vBdFF1zvMqbUh+DbrMA4anz/+b39UGH+jN4/RIG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CFIPDAAAA2wAAAA8AAAAAAAAAAAAA&#10;AAAAoQIAAGRycy9kb3ducmV2LnhtbFBLBQYAAAAABAAEAPkAAACRAwAAAAA=&#10;" strokeweight="1pt">
                  <v:stroke endarrow="block" joinstyle="miter"/>
                </v:shape>
                <w10:anchorlock/>
              </v:group>
            </w:pict>
          </mc:Fallback>
        </mc:AlternateContent>
      </w:r>
      <w:bookmarkEnd w:id="0"/>
    </w:p>
    <w:p w:rsidR="00092444" w:rsidRDefault="00092444" w:rsidP="00092444">
      <w:pPr>
        <w:pStyle w:val="12"/>
      </w:pPr>
      <w:r w:rsidRPr="00797E32">
        <w:lastRenderedPageBreak/>
        <w:t xml:space="preserve">Ю.А. </w:t>
      </w:r>
      <w:proofErr w:type="spellStart"/>
      <w:r w:rsidRPr="00797E32">
        <w:t>Поляничкиным</w:t>
      </w:r>
      <w:proofErr w:type="spellEnd"/>
      <w:r w:rsidRPr="00797E32">
        <w:t>, помимо выше описанных методов и моделей оценки конкурентоспособности промышленных предприятий, рассмотрены еще порядка десяти методических подходов, среди них, в том числе стоит выделить</w:t>
      </w:r>
      <w:r w:rsidR="0090613B" w:rsidRPr="0090613B">
        <w:rPr>
          <w:rStyle w:val="a5"/>
          <w:sz w:val="24"/>
          <w:szCs w:val="24"/>
        </w:rPr>
        <w:footnoteReference w:id="2"/>
      </w:r>
      <w:r w:rsidRPr="00797E32">
        <w:t>:</w:t>
      </w:r>
    </w:p>
    <w:p w:rsidR="00092444" w:rsidRPr="00797E32" w:rsidRDefault="00092444" w:rsidP="00092444">
      <w:pPr>
        <w:pStyle w:val="12"/>
        <w:numPr>
          <w:ilvl w:val="0"/>
          <w:numId w:val="1"/>
        </w:numPr>
      </w:pPr>
      <w:r w:rsidRPr="00797E32">
        <w:t>метод сравнительных преимуществ, который в сущности представляет собой сравнительную оценку ключевых компетенций, обеспечивающих способности предприятия к конкуренции на рынке деятельности;</w:t>
      </w:r>
    </w:p>
    <w:p w:rsidR="00092444" w:rsidRPr="00797E32" w:rsidRDefault="00092444" w:rsidP="00092444">
      <w:pPr>
        <w:pStyle w:val="12"/>
        <w:numPr>
          <w:ilvl w:val="0"/>
          <w:numId w:val="1"/>
        </w:numPr>
      </w:pPr>
      <w:r w:rsidRPr="00797E32">
        <w:t>метод оценки профилей качества продукции, который предполагает определение уровня качества самого продукта и способности этого продукта удовлетворять основные потребительские запросы;</w:t>
      </w:r>
    </w:p>
    <w:p w:rsidR="00092444" w:rsidRPr="00797E32" w:rsidRDefault="00092444" w:rsidP="00092444">
      <w:pPr>
        <w:pStyle w:val="12"/>
        <w:numPr>
          <w:ilvl w:val="0"/>
          <w:numId w:val="1"/>
        </w:numPr>
      </w:pPr>
      <w:r w:rsidRPr="00797E32">
        <w:t xml:space="preserve">метод </w:t>
      </w:r>
      <w:proofErr w:type="spellStart"/>
      <w:r w:rsidRPr="00797E32">
        <w:t>бенчмаркинга</w:t>
      </w:r>
      <w:proofErr w:type="spellEnd"/>
      <w:r w:rsidRPr="00797E32">
        <w:t>, в рамках которого оценивается лучший опыт деятельности бизнес-структуры в рассматриваемом сегменте лучшее предложение товарной продукции, на основе сопоставления определяется уровень соответствия анализируемого предприятия и его продукта лучшему опыту.</w:t>
      </w:r>
    </w:p>
    <w:p w:rsidR="00092444" w:rsidRPr="00797E32" w:rsidRDefault="00092444" w:rsidP="00092444">
      <w:pPr>
        <w:pStyle w:val="12"/>
      </w:pPr>
      <w:r w:rsidRPr="00797E32">
        <w:t xml:space="preserve">З.Ф. </w:t>
      </w:r>
      <w:proofErr w:type="spellStart"/>
      <w:r w:rsidRPr="00797E32">
        <w:t>Шигаповой</w:t>
      </w:r>
      <w:proofErr w:type="spellEnd"/>
      <w:r w:rsidRPr="00797E32">
        <w:t xml:space="preserve"> также проведена систематизация методов оценки конкурентоспособности промышленных предприятий, которые условно классифицированы в три основные группы</w:t>
      </w:r>
      <w:r w:rsidR="0090613B" w:rsidRPr="0090613B">
        <w:rPr>
          <w:rStyle w:val="a5"/>
          <w:sz w:val="24"/>
          <w:szCs w:val="24"/>
        </w:rPr>
        <w:footnoteReference w:id="3"/>
      </w:r>
      <w:r w:rsidRPr="00797E32">
        <w:t>:</w:t>
      </w:r>
    </w:p>
    <w:p w:rsidR="00092444" w:rsidRPr="00797E32" w:rsidRDefault="00092444" w:rsidP="00092444">
      <w:pPr>
        <w:pStyle w:val="12"/>
        <w:numPr>
          <w:ilvl w:val="0"/>
          <w:numId w:val="2"/>
        </w:numPr>
      </w:pPr>
      <w:r w:rsidRPr="00797E32">
        <w:t>методы, интегрирующие конкурентоспособность товара и конкурентный потенциал предприятия;</w:t>
      </w:r>
    </w:p>
    <w:p w:rsidR="00092444" w:rsidRPr="00797E32" w:rsidRDefault="00092444" w:rsidP="00092444">
      <w:pPr>
        <w:pStyle w:val="12"/>
        <w:numPr>
          <w:ilvl w:val="0"/>
          <w:numId w:val="2"/>
        </w:numPr>
      </w:pPr>
      <w:r w:rsidRPr="00797E32">
        <w:t>методы, оценивающие уровень конкурентоспособности только хозяйствующего субъекта (отдельно взятого промышленного предприятия);</w:t>
      </w:r>
    </w:p>
    <w:p w:rsidR="00092444" w:rsidRPr="00797E32" w:rsidRDefault="00092444" w:rsidP="00092444">
      <w:pPr>
        <w:pStyle w:val="12"/>
        <w:numPr>
          <w:ilvl w:val="0"/>
          <w:numId w:val="2"/>
        </w:numPr>
      </w:pPr>
      <w:r w:rsidRPr="00797E32">
        <w:t>методы, основанные на оценке конкурентоспособности товарной продукции, при этом не учитывается конкурентоспособность производителя.</w:t>
      </w:r>
    </w:p>
    <w:p w:rsidR="00092444" w:rsidRPr="00797E32" w:rsidRDefault="00092444" w:rsidP="00092444">
      <w:pPr>
        <w:pStyle w:val="12"/>
      </w:pPr>
      <w:r w:rsidRPr="00797E32">
        <w:lastRenderedPageBreak/>
        <w:t xml:space="preserve">Предложенная З.Ф. </w:t>
      </w:r>
      <w:proofErr w:type="spellStart"/>
      <w:r w:rsidRPr="00797E32">
        <w:t>Шигаповой</w:t>
      </w:r>
      <w:proofErr w:type="spellEnd"/>
      <w:r w:rsidRPr="00797E32">
        <w:t xml:space="preserve"> классификация в целом практически идентичная систематизации методов и моделей оценки конкурентоспособности, разработанной М. Ахматовой и Е. Поповым. При этом, З.Ф. </w:t>
      </w:r>
      <w:proofErr w:type="spellStart"/>
      <w:r w:rsidRPr="00797E32">
        <w:t>Шигапова</w:t>
      </w:r>
      <w:proofErr w:type="spellEnd"/>
      <w:r w:rsidRPr="00797E32">
        <w:t xml:space="preserve"> абсолютно верно указывает, что найти относительно идеальный и относительно объективный метод или инструментарий оценки конкурентоспособности промышленных предприятий или прочих хозяйствующих субъектов (бизнес-структур) весьма сложно, поскольку в каждый следующий момент оценки внутри</w:t>
      </w:r>
      <w:r>
        <w:t xml:space="preserve"> </w:t>
      </w:r>
      <w:r w:rsidRPr="00797E32">
        <w:t>средовые и внешне</w:t>
      </w:r>
      <w:r>
        <w:t xml:space="preserve"> </w:t>
      </w:r>
      <w:r w:rsidRPr="00797E32">
        <w:t>средовые факторы, определяющие конкурентоспособность объекта оценки, могут трансформироваться и по силе, и по направленности воздействия</w:t>
      </w:r>
      <w:r w:rsidR="0090613B" w:rsidRPr="0090613B">
        <w:rPr>
          <w:rStyle w:val="a5"/>
          <w:sz w:val="24"/>
          <w:szCs w:val="24"/>
        </w:rPr>
        <w:footnoteReference w:id="4"/>
      </w:r>
      <w:r w:rsidRPr="00797E32">
        <w:t>.</w:t>
      </w:r>
    </w:p>
    <w:p w:rsidR="00092444" w:rsidRPr="00963DB8" w:rsidRDefault="00092444" w:rsidP="00092444">
      <w:pPr>
        <w:pStyle w:val="12"/>
      </w:pPr>
      <w:r w:rsidRPr="00963DB8">
        <w:t>Очевидно, что многообразие подходов к оценке конкурентоспособности промышленных предприятий, в том числе осуществляющих свою</w:t>
      </w:r>
      <w:r>
        <w:t xml:space="preserve"> деятельность в сфере промышленного</w:t>
      </w:r>
      <w:r w:rsidRPr="00963DB8">
        <w:t xml:space="preserve"> производства, достаточное множество, но каждый из методов не только обладает определенными недостатками, но и в то же время не раскрывает методическую специфику проведения анализа и оценки, набора используемых показателей или критериев в оценке, используемого экономико-аналитического инструментария. </w:t>
      </w:r>
    </w:p>
    <w:p w:rsidR="00092444" w:rsidRPr="00797E32" w:rsidRDefault="00092444" w:rsidP="00092444">
      <w:pPr>
        <w:pStyle w:val="12"/>
      </w:pPr>
      <w:r>
        <w:t xml:space="preserve">По </w:t>
      </w:r>
      <w:r w:rsidRPr="00797E32">
        <w:t>мнению</w:t>
      </w:r>
      <w:r>
        <w:t xml:space="preserve"> автора</w:t>
      </w:r>
      <w:r w:rsidRPr="00797E32">
        <w:t xml:space="preserve">, </w:t>
      </w:r>
      <w:r>
        <w:t>промышленное</w:t>
      </w:r>
      <w:r w:rsidRPr="00797E32">
        <w:t xml:space="preserve"> предприятие, которое является в достаточной степени конкурентоспособным, будет выпускать в достаточной степени конкурентоспособный продукт. Следовательно, в качестве объекта оценки конкурентоспособности необходимо избирать предприятие, при этом используемый оценочный инструментарий должен быть комплексным, то есть в полной мере отражать накопленный конкурентный потенциал данного предприятия. </w:t>
      </w:r>
    </w:p>
    <w:p w:rsidR="009B51B2" w:rsidRPr="009B51B2" w:rsidRDefault="009B51B2" w:rsidP="009B51B2">
      <w:pPr>
        <w:pStyle w:val="12"/>
        <w:jc w:val="center"/>
        <w:rPr>
          <w:b/>
          <w:i/>
        </w:rPr>
      </w:pPr>
      <w:r w:rsidRPr="009B51B2">
        <w:rPr>
          <w:b/>
          <w:i/>
        </w:rPr>
        <w:t>Оценка конкурентоспособности функциональных подсистем</w:t>
      </w:r>
    </w:p>
    <w:p w:rsidR="00092444" w:rsidRPr="00797E32" w:rsidRDefault="00092444" w:rsidP="00092444">
      <w:pPr>
        <w:pStyle w:val="12"/>
      </w:pPr>
      <w:r w:rsidRPr="00797E32">
        <w:t>Общеиз</w:t>
      </w:r>
      <w:r>
        <w:t>вестно, что потенциал промышленного</w:t>
      </w:r>
      <w:r w:rsidRPr="00797E32">
        <w:t xml:space="preserve"> предприятия (конкурентный или стратегический) обеспечивается за счет слаженного функционирования и развития ключевых упра</w:t>
      </w:r>
      <w:r>
        <w:t>вленческих подсистем. Ц</w:t>
      </w:r>
      <w:r w:rsidRPr="00797E32">
        <w:t>елесообразно выделять следующ</w:t>
      </w:r>
      <w:r>
        <w:t>ие основные подсистемы промышленных</w:t>
      </w:r>
      <w:r w:rsidRPr="00797E32">
        <w:t xml:space="preserve"> </w:t>
      </w:r>
      <w:r w:rsidRPr="00797E32">
        <w:lastRenderedPageBreak/>
        <w:t>предприятий: производственную, кадровую, финансово-экономическую, снабженческо-сбытовую и материально-техническую. В каждой из этих подсистем можно выделить несколько ключевых показателей, которые будут демонстрировать способность создания конкурентных преимуществ и в конечном итоге – уровень конкурентоспособности предприятия, как объекта оценки.</w:t>
      </w:r>
      <w:r>
        <w:t xml:space="preserve"> Далее нами будет изложена уточ</w:t>
      </w:r>
      <w:r w:rsidRPr="00797E32">
        <w:t>н</w:t>
      </w:r>
      <w:r>
        <w:t>е</w:t>
      </w:r>
      <w:r w:rsidRPr="00797E32">
        <w:t>н</w:t>
      </w:r>
      <w:r>
        <w:t>н</w:t>
      </w:r>
      <w:r w:rsidRPr="00797E32">
        <w:t>ая авторская методика оценки</w:t>
      </w:r>
      <w:r>
        <w:t xml:space="preserve"> конкурентоспособности промышленных</w:t>
      </w:r>
      <w:r w:rsidRPr="00797E32">
        <w:t xml:space="preserve"> предприятий с учетом того, что все оценочные показатели должны иметь примерно одинаковую аналитическую интерпретацию.</w:t>
      </w:r>
    </w:p>
    <w:p w:rsidR="00092444" w:rsidRPr="00797E32" w:rsidRDefault="00092444" w:rsidP="00092444">
      <w:pPr>
        <w:pStyle w:val="12"/>
      </w:pPr>
      <w:r w:rsidRPr="00912787">
        <w:rPr>
          <w:i/>
          <w:u w:val="single"/>
        </w:rPr>
        <w:t>Производственная подсистема</w:t>
      </w:r>
      <w:r w:rsidRPr="00797E32">
        <w:t xml:space="preserve"> играет важнейшую роль в обеспечении конкурентоспособности как самого предприятия, так и выпускаемой продукции. Для выхода конкурентоспособной продукции необходимо, чтобы отдача от использования ресурсов была достаточной, при этом обеспечивался максимальный выход годного (то есть минимальный уровень производственного брака) и кроме этого, важно, чтобы производственная подсистема выполняла поставленные планы для обеспечения потенциального потребительского спроса. </w:t>
      </w:r>
    </w:p>
    <w:p w:rsidR="00092444" w:rsidRPr="00797E32" w:rsidRDefault="00092444" w:rsidP="00092444">
      <w:pPr>
        <w:pStyle w:val="12"/>
      </w:pPr>
      <w:r w:rsidRPr="00797E32">
        <w:t xml:space="preserve">Показатель </w:t>
      </w:r>
      <w:proofErr w:type="spellStart"/>
      <w:r w:rsidRPr="00797E32">
        <w:t>ресурсоотдачи</w:t>
      </w:r>
      <w:proofErr w:type="spellEnd"/>
      <w:r w:rsidRPr="00797E32">
        <w:t xml:space="preserve"> оптимально рассчитывать</w:t>
      </w:r>
      <w:r w:rsidR="00912787">
        <w:t>,</w:t>
      </w:r>
      <w:r w:rsidRPr="00797E32">
        <w:t xml:space="preserve"> как соотношение операционных доходов (доходов по основной деятельности) к полной себестоимости (с учетом коммерческих и управленческих расходов), для этого целесообразно использовать следующую формулу</w:t>
      </w:r>
      <w:r w:rsidR="0090613B" w:rsidRPr="00797E32">
        <w:rPr>
          <w:rStyle w:val="a5"/>
        </w:rPr>
        <w:footnoteReference w:id="5"/>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9348"/>
        <w:gridCol w:w="222"/>
      </w:tblGrid>
      <w:tr w:rsidR="00092444" w:rsidRPr="00797E32" w:rsidTr="006C0D36">
        <w:tc>
          <w:tcPr>
            <w:tcW w:w="8359" w:type="dxa"/>
            <w:vAlign w:val="center"/>
          </w:tcPr>
          <w:tbl>
            <w:tblPr>
              <w:tblW w:w="9494" w:type="dxa"/>
              <w:tblLook w:val="00A0" w:firstRow="1" w:lastRow="0" w:firstColumn="1" w:lastColumn="0" w:noHBand="0" w:noVBand="0"/>
            </w:tblPr>
            <w:tblGrid>
              <w:gridCol w:w="8359"/>
              <w:gridCol w:w="1135"/>
            </w:tblGrid>
            <w:tr w:rsidR="0090613B" w:rsidRPr="00797E32" w:rsidTr="007379F2">
              <w:tc>
                <w:tcPr>
                  <w:tcW w:w="8359" w:type="dxa"/>
                  <w:vAlign w:val="center"/>
                </w:tcPr>
                <w:p w:rsidR="0090613B" w:rsidRPr="0090613B" w:rsidRDefault="0090613B" w:rsidP="0090613B">
                  <w:pPr>
                    <w:pStyle w:val="11"/>
                    <w:spacing w:line="360" w:lineRule="auto"/>
                    <w:rPr>
                      <w:szCs w:val="28"/>
                    </w:rPr>
                  </w:pPr>
                  <m:oMathPara>
                    <m:oMath>
                      <m:r>
                        <w:rPr>
                          <w:rFonts w:ascii="Cambria Math" w:eastAsia="Calibri" w:hAnsi="Cambria Math"/>
                          <w:szCs w:val="28"/>
                        </w:rPr>
                        <m:t>IR</m:t>
                      </m:r>
                      <m:r>
                        <m:rPr>
                          <m:sty m:val="p"/>
                        </m:rPr>
                        <w:rPr>
                          <w:rFonts w:ascii="Cambria Math" w:hAnsi="Cambria Math"/>
                          <w:szCs w:val="28"/>
                        </w:rPr>
                        <m:t>=</m:t>
                      </m:r>
                      <m:f>
                        <m:fPr>
                          <m:type m:val="skw"/>
                          <m:ctrlPr>
                            <w:rPr>
                              <w:rFonts w:ascii="Cambria Math" w:hAnsi="Cambria Math"/>
                              <w:szCs w:val="28"/>
                            </w:rPr>
                          </m:ctrlPr>
                        </m:fPr>
                        <m:num>
                          <m:r>
                            <w:rPr>
                              <w:rFonts w:ascii="Cambria Math" w:hAnsi="Cambria Math"/>
                              <w:szCs w:val="28"/>
                            </w:rPr>
                            <m:t>IO</m:t>
                          </m:r>
                        </m:num>
                        <m:den>
                          <m:r>
                            <w:rPr>
                              <w:rFonts w:ascii="Cambria Math" w:hAnsi="Cambria Math"/>
                              <w:szCs w:val="28"/>
                            </w:rPr>
                            <m:t>FC</m:t>
                          </m:r>
                        </m:den>
                      </m:f>
                    </m:oMath>
                  </m:oMathPara>
                </w:p>
              </w:tc>
              <w:tc>
                <w:tcPr>
                  <w:tcW w:w="1135" w:type="dxa"/>
                  <w:vAlign w:val="center"/>
                </w:tcPr>
                <w:p w:rsidR="0090613B" w:rsidRPr="00797E32" w:rsidRDefault="0090613B" w:rsidP="0090613B">
                  <w:pPr>
                    <w:pStyle w:val="11"/>
                    <w:spacing w:line="360" w:lineRule="auto"/>
                    <w:rPr>
                      <w:szCs w:val="28"/>
                    </w:rPr>
                  </w:pPr>
                  <w:r w:rsidRPr="00797E32">
                    <w:rPr>
                      <w:szCs w:val="28"/>
                    </w:rPr>
                    <w:t>(3.1)</w:t>
                  </w:r>
                </w:p>
              </w:tc>
            </w:tr>
          </w:tbl>
          <w:p w:rsidR="0090613B" w:rsidRPr="00092444" w:rsidRDefault="0090613B" w:rsidP="006C0D36">
            <w:pPr>
              <w:pStyle w:val="11"/>
              <w:spacing w:line="360" w:lineRule="auto"/>
              <w:rPr>
                <w:szCs w:val="28"/>
              </w:rPr>
            </w:pPr>
          </w:p>
        </w:tc>
        <w:tc>
          <w:tcPr>
            <w:tcW w:w="1135" w:type="dxa"/>
            <w:vAlign w:val="center"/>
          </w:tcPr>
          <w:p w:rsidR="00092444" w:rsidRPr="00797E32" w:rsidRDefault="00092444" w:rsidP="006C0D36">
            <w:pPr>
              <w:pStyle w:val="11"/>
              <w:spacing w:line="360" w:lineRule="auto"/>
              <w:rPr>
                <w:szCs w:val="28"/>
              </w:rPr>
            </w:pP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IR</w:t>
      </w:r>
      <w:r w:rsidRPr="00797E32">
        <w:rPr>
          <w:szCs w:val="28"/>
        </w:rPr>
        <w:t xml:space="preserve"> – коэффициент, характеризующий </w:t>
      </w:r>
      <w:proofErr w:type="spellStart"/>
      <w:r w:rsidRPr="00797E32">
        <w:rPr>
          <w:szCs w:val="28"/>
        </w:rPr>
        <w:t>ресурсоотдачу</w:t>
      </w:r>
      <w:proofErr w:type="spellEnd"/>
      <w:r w:rsidRPr="00797E32">
        <w:rPr>
          <w:szCs w:val="28"/>
        </w:rPr>
        <w:t>;</w:t>
      </w:r>
    </w:p>
    <w:p w:rsidR="00092444" w:rsidRPr="00797E32" w:rsidRDefault="00092444" w:rsidP="00092444">
      <w:pPr>
        <w:pStyle w:val="12"/>
        <w:spacing w:line="276" w:lineRule="auto"/>
        <w:rPr>
          <w:szCs w:val="28"/>
        </w:rPr>
      </w:pPr>
      <w:r w:rsidRPr="00797E32">
        <w:rPr>
          <w:i/>
          <w:szCs w:val="28"/>
          <w:lang w:val="en-US"/>
        </w:rPr>
        <w:t>IO</w:t>
      </w:r>
      <w:r w:rsidRPr="00797E32">
        <w:rPr>
          <w:szCs w:val="28"/>
        </w:rPr>
        <w:t xml:space="preserve"> – сумма доходов по основной (операционной) деятельности предприятия;</w:t>
      </w:r>
    </w:p>
    <w:p w:rsidR="00092444" w:rsidRPr="00797E32" w:rsidRDefault="00092444" w:rsidP="00092444">
      <w:pPr>
        <w:pStyle w:val="12"/>
        <w:spacing w:line="276" w:lineRule="auto"/>
        <w:rPr>
          <w:szCs w:val="28"/>
        </w:rPr>
      </w:pPr>
      <w:r w:rsidRPr="00797E32">
        <w:rPr>
          <w:i/>
          <w:szCs w:val="28"/>
          <w:lang w:val="en-US"/>
        </w:rPr>
        <w:t>FC</w:t>
      </w:r>
      <w:r w:rsidRPr="00797E32">
        <w:rPr>
          <w:szCs w:val="28"/>
        </w:rPr>
        <w:t xml:space="preserve"> – сумма совокупных расходов, связанных с производством, продвижением продукции, а также с управлением предприятием.</w:t>
      </w:r>
    </w:p>
    <w:p w:rsidR="00092444" w:rsidRPr="00797E32" w:rsidRDefault="00092444" w:rsidP="00092444">
      <w:pPr>
        <w:pStyle w:val="12"/>
        <w:rPr>
          <w:szCs w:val="28"/>
        </w:rPr>
      </w:pPr>
      <w:r w:rsidRPr="00797E32">
        <w:t>Второй не менее важный показатель функционирования произ</w:t>
      </w:r>
      <w:r w:rsidR="00274E6F">
        <w:t>водственной подсистемы промышленных</w:t>
      </w:r>
      <w:r w:rsidRPr="00797E32">
        <w:t xml:space="preserve"> предприятий – это выход годного, то есть показатель, отражающий уровень бракованной продукции в </w:t>
      </w:r>
      <w:r w:rsidRPr="00797E32">
        <w:lastRenderedPageBreak/>
        <w:t>общем объеме производства. Для расчета целесообразно использовать следующую формулу</w:t>
      </w:r>
      <w:r w:rsidR="0090613B" w:rsidRPr="00797E32">
        <w:rPr>
          <w:rStyle w:val="a5"/>
        </w:rPr>
        <w:footnoteReference w:id="6"/>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90613B" w:rsidRPr="00797E32" w:rsidTr="007379F2">
        <w:tc>
          <w:tcPr>
            <w:tcW w:w="8359" w:type="dxa"/>
            <w:vAlign w:val="center"/>
          </w:tcPr>
          <w:p w:rsidR="0090613B" w:rsidRPr="0090613B" w:rsidRDefault="0090613B" w:rsidP="007379F2">
            <w:pPr>
              <w:pStyle w:val="11"/>
              <w:rPr>
                <w:szCs w:val="28"/>
              </w:rPr>
            </w:pPr>
            <m:oMathPara>
              <m:oMath>
                <m:r>
                  <w:rPr>
                    <w:rFonts w:ascii="Cambria Math" w:eastAsia="Calibri" w:hAnsi="Cambria Math"/>
                    <w:szCs w:val="28"/>
                  </w:rPr>
                  <m:t>EX</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EV</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EV</m:t>
                        </m:r>
                      </m:e>
                      <m:sub>
                        <m:r>
                          <w:rPr>
                            <w:rFonts w:ascii="Cambria Math" w:hAnsi="Cambria Math"/>
                            <w:szCs w:val="28"/>
                          </w:rPr>
                          <m:t>p</m:t>
                        </m:r>
                      </m:sub>
                    </m:sSub>
                  </m:den>
                </m:f>
              </m:oMath>
            </m:oMathPara>
          </w:p>
        </w:tc>
        <w:tc>
          <w:tcPr>
            <w:tcW w:w="1135" w:type="dxa"/>
            <w:vAlign w:val="center"/>
          </w:tcPr>
          <w:p w:rsidR="0090613B" w:rsidRPr="00797E32" w:rsidRDefault="0090613B" w:rsidP="007379F2">
            <w:pPr>
              <w:pStyle w:val="11"/>
              <w:rPr>
                <w:szCs w:val="28"/>
              </w:rPr>
            </w:pPr>
            <w:r w:rsidRPr="00797E32">
              <w:rPr>
                <w:szCs w:val="28"/>
              </w:rPr>
              <w:t>(3.2)</w:t>
            </w:r>
          </w:p>
        </w:tc>
      </w:tr>
    </w:tbl>
    <w:p w:rsidR="00092444" w:rsidRPr="00797E32" w:rsidRDefault="00092444" w:rsidP="00092444">
      <w:pPr>
        <w:pStyle w:val="12"/>
        <w:spacing w:line="276" w:lineRule="auto"/>
        <w:rPr>
          <w:szCs w:val="28"/>
        </w:rPr>
      </w:pPr>
      <w:r w:rsidRPr="00797E32">
        <w:rPr>
          <w:szCs w:val="28"/>
        </w:rPr>
        <w:t xml:space="preserve">Где: </w:t>
      </w:r>
      <w:r w:rsidRPr="00797E32">
        <w:rPr>
          <w:i/>
          <w:szCs w:val="28"/>
          <w:lang w:val="en-US"/>
        </w:rPr>
        <w:t>EX</w:t>
      </w:r>
      <w:r w:rsidRPr="00797E32">
        <w:rPr>
          <w:szCs w:val="28"/>
        </w:rPr>
        <w:t xml:space="preserve"> – коэффициент, характеризующий выход годной продукции при заданном объеме производства;</w:t>
      </w:r>
    </w:p>
    <w:p w:rsidR="00092444" w:rsidRPr="00797E32" w:rsidRDefault="00092444" w:rsidP="00092444">
      <w:pPr>
        <w:pStyle w:val="12"/>
        <w:spacing w:line="276" w:lineRule="auto"/>
        <w:rPr>
          <w:szCs w:val="28"/>
        </w:rPr>
      </w:pPr>
      <w:proofErr w:type="spellStart"/>
      <w:r w:rsidRPr="00797E32">
        <w:rPr>
          <w:i/>
          <w:szCs w:val="28"/>
          <w:lang w:val="en-US"/>
        </w:rPr>
        <w:t>EV</w:t>
      </w:r>
      <w:r w:rsidRPr="00797E32">
        <w:rPr>
          <w:i/>
          <w:szCs w:val="28"/>
          <w:vertAlign w:val="subscript"/>
          <w:lang w:val="en-US"/>
        </w:rPr>
        <w:t>p</w:t>
      </w:r>
      <w:proofErr w:type="spellEnd"/>
      <w:r w:rsidRPr="00797E32">
        <w:rPr>
          <w:szCs w:val="28"/>
        </w:rPr>
        <w:t xml:space="preserve"> – требуемый объем производства годной (не бракованной) продукции;</w:t>
      </w:r>
    </w:p>
    <w:p w:rsidR="00092444" w:rsidRPr="00797E32" w:rsidRDefault="00092444" w:rsidP="00092444">
      <w:pPr>
        <w:pStyle w:val="12"/>
        <w:spacing w:line="276" w:lineRule="auto"/>
        <w:rPr>
          <w:szCs w:val="28"/>
        </w:rPr>
      </w:pPr>
      <w:proofErr w:type="spellStart"/>
      <w:r w:rsidRPr="00797E32">
        <w:rPr>
          <w:i/>
          <w:szCs w:val="28"/>
          <w:lang w:val="en-US"/>
        </w:rPr>
        <w:t>EV</w:t>
      </w:r>
      <w:r w:rsidRPr="00797E32">
        <w:rPr>
          <w:i/>
          <w:szCs w:val="28"/>
          <w:vertAlign w:val="subscript"/>
          <w:lang w:val="en-US"/>
        </w:rPr>
        <w:t>f</w:t>
      </w:r>
      <w:proofErr w:type="spellEnd"/>
      <w:r w:rsidRPr="00797E32">
        <w:rPr>
          <w:szCs w:val="28"/>
        </w:rPr>
        <w:t xml:space="preserve"> – объем производства годной (не бракованной) продукции фактически за плановый период.</w:t>
      </w:r>
    </w:p>
    <w:p w:rsidR="00092444" w:rsidRPr="00797E32" w:rsidRDefault="00092444" w:rsidP="00092444">
      <w:pPr>
        <w:pStyle w:val="12"/>
        <w:rPr>
          <w:szCs w:val="28"/>
        </w:rPr>
      </w:pPr>
      <w:r w:rsidRPr="00797E32">
        <w:t>Следующий показатель производственной составляющей конкурентоспособности промышленных предприятий – это показатель выполнения плана производства (плана, необходимого для удовлетворения потенциального потребительского спроса. Для этого оптимально использовать следующую формулу</w:t>
      </w:r>
      <w:r w:rsidR="0081557A" w:rsidRPr="00797E32">
        <w:rPr>
          <w:rStyle w:val="a5"/>
        </w:rPr>
        <w:footnoteReference w:id="7"/>
      </w:r>
      <w:r w:rsidRPr="00797E32">
        <w:t>:</w:t>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spacing w:line="360" w:lineRule="auto"/>
              <w:rPr>
                <w:szCs w:val="28"/>
              </w:rPr>
            </w:pPr>
            <m:oMathPara>
              <m:oMath>
                <m:r>
                  <w:rPr>
                    <w:rFonts w:ascii="Cambria Math" w:eastAsia="Calibri" w:hAnsi="Cambria Math"/>
                    <w:szCs w:val="28"/>
                  </w:rPr>
                  <m:t>IP</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V</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V</m:t>
                        </m:r>
                      </m:e>
                      <m:sub>
                        <m:r>
                          <w:rPr>
                            <w:rFonts w:ascii="Cambria Math" w:hAnsi="Cambria Math"/>
                            <w:szCs w:val="28"/>
                          </w:rPr>
                          <m:t>p</m:t>
                        </m:r>
                      </m:sub>
                    </m:sSub>
                  </m:den>
                </m:f>
              </m:oMath>
            </m:oMathPara>
          </w:p>
        </w:tc>
        <w:tc>
          <w:tcPr>
            <w:tcW w:w="1135" w:type="dxa"/>
            <w:vAlign w:val="center"/>
          </w:tcPr>
          <w:p w:rsidR="0081557A" w:rsidRPr="00797E32" w:rsidRDefault="0081557A" w:rsidP="007379F2">
            <w:pPr>
              <w:pStyle w:val="11"/>
              <w:spacing w:line="360" w:lineRule="auto"/>
              <w:rPr>
                <w:szCs w:val="28"/>
              </w:rPr>
            </w:pPr>
            <w:r w:rsidRPr="00797E32">
              <w:rPr>
                <w:szCs w:val="28"/>
              </w:rPr>
              <w:t>(3.3)</w:t>
            </w:r>
          </w:p>
        </w:tc>
      </w:tr>
    </w:tbl>
    <w:p w:rsidR="00092444" w:rsidRPr="00797E32" w:rsidRDefault="00092444" w:rsidP="00092444">
      <w:pPr>
        <w:pStyle w:val="12"/>
        <w:spacing w:line="276" w:lineRule="auto"/>
        <w:rPr>
          <w:szCs w:val="28"/>
        </w:rPr>
      </w:pPr>
      <w:r w:rsidRPr="00797E32">
        <w:rPr>
          <w:szCs w:val="28"/>
        </w:rPr>
        <w:t xml:space="preserve">Где: </w:t>
      </w:r>
      <w:r w:rsidRPr="00797E32">
        <w:rPr>
          <w:i/>
          <w:szCs w:val="28"/>
          <w:lang w:val="en-US"/>
        </w:rPr>
        <w:t>IP</w:t>
      </w:r>
      <w:r w:rsidRPr="00797E32">
        <w:rPr>
          <w:szCs w:val="28"/>
        </w:rPr>
        <w:t xml:space="preserve"> – коэффициент, характеризующий выполнение производственного плана;</w:t>
      </w:r>
    </w:p>
    <w:p w:rsidR="00092444" w:rsidRPr="00797E32" w:rsidRDefault="00092444" w:rsidP="00092444">
      <w:pPr>
        <w:pStyle w:val="12"/>
        <w:spacing w:line="276" w:lineRule="auto"/>
        <w:rPr>
          <w:szCs w:val="28"/>
        </w:rPr>
      </w:pPr>
      <w:proofErr w:type="spellStart"/>
      <w:r w:rsidRPr="00797E32">
        <w:rPr>
          <w:i/>
          <w:szCs w:val="28"/>
          <w:lang w:val="en-US"/>
        </w:rPr>
        <w:t>V</w:t>
      </w:r>
      <w:r w:rsidRPr="00797E32">
        <w:rPr>
          <w:i/>
          <w:szCs w:val="28"/>
          <w:vertAlign w:val="subscript"/>
          <w:lang w:val="en-US"/>
        </w:rPr>
        <w:t>p</w:t>
      </w:r>
      <w:proofErr w:type="spellEnd"/>
      <w:r w:rsidRPr="00797E32">
        <w:rPr>
          <w:szCs w:val="28"/>
        </w:rPr>
        <w:t xml:space="preserve"> – план производства продукции, удовлетворяющий потенциальный потребительский спрос;</w:t>
      </w:r>
    </w:p>
    <w:p w:rsidR="00092444" w:rsidRPr="00797E32" w:rsidRDefault="00092444" w:rsidP="00092444">
      <w:pPr>
        <w:pStyle w:val="12"/>
        <w:spacing w:line="276" w:lineRule="auto"/>
        <w:rPr>
          <w:szCs w:val="28"/>
        </w:rPr>
      </w:pPr>
      <w:proofErr w:type="spellStart"/>
      <w:r w:rsidRPr="00797E32">
        <w:rPr>
          <w:i/>
          <w:szCs w:val="28"/>
          <w:lang w:val="en-US"/>
        </w:rPr>
        <w:t>V</w:t>
      </w:r>
      <w:r w:rsidRPr="00797E32">
        <w:rPr>
          <w:i/>
          <w:szCs w:val="28"/>
          <w:vertAlign w:val="subscript"/>
          <w:lang w:val="en-US"/>
        </w:rPr>
        <w:t>f</w:t>
      </w:r>
      <w:proofErr w:type="spellEnd"/>
      <w:r w:rsidRPr="00797E32">
        <w:rPr>
          <w:szCs w:val="28"/>
        </w:rPr>
        <w:t xml:space="preserve"> – фактический объем производства продукции, удовлетворяющий потенциальный потребительский спрос.</w:t>
      </w:r>
    </w:p>
    <w:p w:rsidR="00092444" w:rsidRPr="00797E32" w:rsidRDefault="00092444" w:rsidP="00092444">
      <w:pPr>
        <w:pStyle w:val="12"/>
      </w:pPr>
      <w:r w:rsidRPr="00797E32">
        <w:t xml:space="preserve">Следующая важнейшая для обеспечения конкурентоспособности предприятия – это </w:t>
      </w:r>
      <w:r w:rsidRPr="00912787">
        <w:rPr>
          <w:i/>
          <w:u w:val="single"/>
        </w:rPr>
        <w:t>кадровая подсистема</w:t>
      </w:r>
      <w:r w:rsidRPr="00797E32">
        <w:t>. Для эффективного функционирования кадровой подсистемы, способствующего формированию кон</w:t>
      </w:r>
      <w:r w:rsidR="00274E6F">
        <w:t>курентных преимуществ промышленного</w:t>
      </w:r>
      <w:r w:rsidRPr="00797E32">
        <w:t xml:space="preserve"> предприятия, необходима достаточная обеспеченность основными кадровыми ресурсами, </w:t>
      </w:r>
      <w:proofErr w:type="spellStart"/>
      <w:r w:rsidRPr="00797E32">
        <w:t>знаниевый</w:t>
      </w:r>
      <w:proofErr w:type="spellEnd"/>
      <w:r w:rsidRPr="00797E32">
        <w:t xml:space="preserve"> потенциал кадров, а также интенсивность осуществления персоналом предприятия трудовой деятельности.</w:t>
      </w:r>
    </w:p>
    <w:p w:rsidR="00092444" w:rsidRPr="00797E32" w:rsidRDefault="00092444" w:rsidP="00092444">
      <w:pPr>
        <w:pStyle w:val="12"/>
        <w:rPr>
          <w:szCs w:val="28"/>
        </w:rPr>
      </w:pPr>
      <w:r w:rsidRPr="00797E32">
        <w:t>Ключевые кадровые ресурсы любого промышл</w:t>
      </w:r>
      <w:r w:rsidR="00274E6F">
        <w:t>енного, в том числе и промышленного</w:t>
      </w:r>
      <w:r w:rsidRPr="00797E32">
        <w:t xml:space="preserve"> предприятия в условиях инновационной экономики – это </w:t>
      </w:r>
      <w:r w:rsidRPr="00797E32">
        <w:lastRenderedPageBreak/>
        <w:t>основные рабочие и инженерно-технические работники. Поэтому обеспеченность основными кадров</w:t>
      </w:r>
      <w:r w:rsidR="00274E6F">
        <w:t>ыми ресурсами промышленных</w:t>
      </w:r>
      <w:r w:rsidRPr="00797E32">
        <w:t xml:space="preserve"> предприятий целесообразно оценивать на основании следующей формулы</w:t>
      </w:r>
      <w:r w:rsidR="0081557A" w:rsidRPr="00797E32">
        <w:rPr>
          <w:rStyle w:val="a5"/>
        </w:rPr>
        <w:footnoteReference w:id="8"/>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spacing w:line="360" w:lineRule="auto"/>
              <w:rPr>
                <w:szCs w:val="28"/>
              </w:rPr>
            </w:pPr>
            <m:oMathPara>
              <m:oMath>
                <m:r>
                  <w:rPr>
                    <w:rFonts w:ascii="Cambria Math" w:eastAsia="Calibri" w:hAnsi="Cambria Math"/>
                    <w:szCs w:val="28"/>
                  </w:rPr>
                  <m:t>S</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nary>
                          <m:naryPr>
                            <m:chr m:val="∑"/>
                            <m:limLoc m:val="undOvr"/>
                            <m:subHide m:val="1"/>
                            <m:supHide m:val="1"/>
                            <m:ctrlPr>
                              <w:rPr>
                                <w:rFonts w:ascii="Cambria Math" w:hAnsi="Cambria Math"/>
                                <w:szCs w:val="28"/>
                              </w:rPr>
                            </m:ctrlPr>
                          </m:naryPr>
                          <m:sub/>
                          <m:sup/>
                          <m:e>
                            <m:r>
                              <w:rPr>
                                <w:rFonts w:ascii="Cambria Math" w:hAnsi="Cambria Math"/>
                                <w:szCs w:val="28"/>
                              </w:rPr>
                              <m:t>MW</m:t>
                            </m:r>
                            <m:r>
                              <m:rPr>
                                <m:sty m:val="p"/>
                              </m:rPr>
                              <w:rPr>
                                <w:rFonts w:ascii="Cambria Math" w:hAnsi="Cambria Math"/>
                                <w:szCs w:val="28"/>
                              </w:rPr>
                              <m:t>+</m:t>
                            </m:r>
                            <m:r>
                              <w:rPr>
                                <w:rFonts w:ascii="Cambria Math" w:hAnsi="Cambria Math"/>
                                <w:szCs w:val="28"/>
                              </w:rPr>
                              <m:t>TO</m:t>
                            </m:r>
                          </m:e>
                        </m:nary>
                      </m:e>
                      <m:sub>
                        <m:r>
                          <w:rPr>
                            <w:rFonts w:ascii="Cambria Math" w:hAnsi="Cambria Math"/>
                            <w:szCs w:val="28"/>
                          </w:rPr>
                          <m:t>f</m:t>
                        </m:r>
                      </m:sub>
                    </m:sSub>
                  </m:num>
                  <m:den>
                    <m:sSub>
                      <m:sSubPr>
                        <m:ctrlPr>
                          <w:rPr>
                            <w:rFonts w:ascii="Cambria Math" w:hAnsi="Cambria Math"/>
                            <w:szCs w:val="28"/>
                          </w:rPr>
                        </m:ctrlPr>
                      </m:sSubPr>
                      <m:e>
                        <m:nary>
                          <m:naryPr>
                            <m:chr m:val="∑"/>
                            <m:limLoc m:val="undOvr"/>
                            <m:subHide m:val="1"/>
                            <m:supHide m:val="1"/>
                            <m:ctrlPr>
                              <w:rPr>
                                <w:rFonts w:ascii="Cambria Math" w:hAnsi="Cambria Math"/>
                                <w:szCs w:val="28"/>
                              </w:rPr>
                            </m:ctrlPr>
                          </m:naryPr>
                          <m:sub/>
                          <m:sup/>
                          <m:e>
                            <m:r>
                              <w:rPr>
                                <w:rFonts w:ascii="Cambria Math" w:hAnsi="Cambria Math"/>
                                <w:szCs w:val="28"/>
                              </w:rPr>
                              <m:t>MW</m:t>
                            </m:r>
                            <m:r>
                              <m:rPr>
                                <m:sty m:val="p"/>
                              </m:rPr>
                              <w:rPr>
                                <w:rFonts w:ascii="Cambria Math" w:hAnsi="Cambria Math"/>
                                <w:szCs w:val="28"/>
                              </w:rPr>
                              <m:t>+</m:t>
                            </m:r>
                            <m:r>
                              <w:rPr>
                                <w:rFonts w:ascii="Cambria Math" w:hAnsi="Cambria Math"/>
                                <w:szCs w:val="28"/>
                              </w:rPr>
                              <m:t>TO</m:t>
                            </m:r>
                          </m:e>
                        </m:nary>
                      </m:e>
                      <m:sub>
                        <m:r>
                          <w:rPr>
                            <w:rFonts w:ascii="Cambria Math" w:hAnsi="Cambria Math"/>
                            <w:szCs w:val="28"/>
                          </w:rPr>
                          <m:t>p</m:t>
                        </m:r>
                      </m:sub>
                    </m:sSub>
                  </m:den>
                </m:f>
              </m:oMath>
            </m:oMathPara>
          </w:p>
        </w:tc>
        <w:tc>
          <w:tcPr>
            <w:tcW w:w="1135" w:type="dxa"/>
            <w:vAlign w:val="center"/>
          </w:tcPr>
          <w:p w:rsidR="0081557A" w:rsidRPr="00797E32" w:rsidRDefault="0081557A" w:rsidP="007379F2">
            <w:pPr>
              <w:pStyle w:val="11"/>
              <w:spacing w:line="360" w:lineRule="auto"/>
              <w:rPr>
                <w:szCs w:val="28"/>
              </w:rPr>
            </w:pPr>
            <w:r w:rsidRPr="00797E32">
              <w:rPr>
                <w:szCs w:val="28"/>
              </w:rPr>
              <w:t>(3.4)</w:t>
            </w:r>
          </w:p>
        </w:tc>
      </w:tr>
    </w:tbl>
    <w:p w:rsidR="00092444" w:rsidRPr="00797E32" w:rsidRDefault="00092444" w:rsidP="00092444">
      <w:pPr>
        <w:pStyle w:val="12"/>
        <w:rPr>
          <w:szCs w:val="28"/>
        </w:rPr>
      </w:pPr>
      <w:r w:rsidRPr="00797E32">
        <w:rPr>
          <w:szCs w:val="28"/>
        </w:rPr>
        <w:t xml:space="preserve">Где: </w:t>
      </w:r>
      <w:r w:rsidRPr="00797E32">
        <w:rPr>
          <w:i/>
          <w:szCs w:val="28"/>
          <w:lang w:val="en-US"/>
        </w:rPr>
        <w:t>S</w:t>
      </w:r>
      <w:r w:rsidRPr="00797E32">
        <w:rPr>
          <w:szCs w:val="28"/>
        </w:rPr>
        <w:t xml:space="preserve"> – коэффициент, характеризующий обеспеченность предприятия основными кадровыми ресурсами;</w:t>
      </w:r>
    </w:p>
    <w:p w:rsidR="00092444" w:rsidRPr="00797E32" w:rsidRDefault="00092444" w:rsidP="00092444">
      <w:pPr>
        <w:pStyle w:val="12"/>
        <w:spacing w:line="276" w:lineRule="auto"/>
        <w:rPr>
          <w:szCs w:val="28"/>
        </w:rPr>
      </w:pPr>
      <w:r w:rsidRPr="00797E32">
        <w:rPr>
          <w:i/>
          <w:szCs w:val="28"/>
          <w:lang w:val="en-US"/>
        </w:rPr>
        <w:t>Σ</w:t>
      </w:r>
      <w:r w:rsidRPr="00797E32">
        <w:rPr>
          <w:i/>
          <w:szCs w:val="28"/>
        </w:rPr>
        <w:t>(</w:t>
      </w:r>
      <w:r w:rsidRPr="00797E32">
        <w:rPr>
          <w:i/>
          <w:szCs w:val="28"/>
          <w:lang w:val="en-US"/>
        </w:rPr>
        <w:t>MW</w:t>
      </w:r>
      <w:r w:rsidRPr="00797E32">
        <w:rPr>
          <w:i/>
          <w:szCs w:val="28"/>
        </w:rPr>
        <w:t>+</w:t>
      </w:r>
      <w:r w:rsidRPr="00797E32">
        <w:rPr>
          <w:i/>
          <w:szCs w:val="28"/>
          <w:lang w:val="en-US"/>
        </w:rPr>
        <w:t>TO</w:t>
      </w:r>
      <w:r w:rsidRPr="00797E32">
        <w:rPr>
          <w:i/>
          <w:szCs w:val="28"/>
        </w:rPr>
        <w:t>)</w:t>
      </w:r>
      <w:r w:rsidRPr="00797E32">
        <w:rPr>
          <w:i/>
          <w:szCs w:val="28"/>
          <w:vertAlign w:val="subscript"/>
          <w:lang w:val="en-US"/>
        </w:rPr>
        <w:t>p</w:t>
      </w:r>
      <w:r w:rsidRPr="00797E32">
        <w:rPr>
          <w:szCs w:val="28"/>
        </w:rPr>
        <w:t xml:space="preserve"> –</w:t>
      </w:r>
      <w:r w:rsidR="00274E6F">
        <w:rPr>
          <w:szCs w:val="28"/>
        </w:rPr>
        <w:t xml:space="preserve"> плановая потребность промышленного</w:t>
      </w:r>
      <w:r w:rsidRPr="00797E32">
        <w:rPr>
          <w:szCs w:val="28"/>
        </w:rPr>
        <w:t xml:space="preserve"> предприятия в основных рабочих и инженерно-техническом персонале;</w:t>
      </w:r>
    </w:p>
    <w:p w:rsidR="00092444" w:rsidRPr="00797E32" w:rsidRDefault="00092444" w:rsidP="00092444">
      <w:pPr>
        <w:pStyle w:val="12"/>
        <w:widowControl w:val="0"/>
        <w:spacing w:line="276" w:lineRule="auto"/>
        <w:rPr>
          <w:szCs w:val="28"/>
        </w:rPr>
      </w:pPr>
      <w:r w:rsidRPr="00797E32">
        <w:rPr>
          <w:i/>
          <w:szCs w:val="28"/>
          <w:lang w:val="en-US"/>
        </w:rPr>
        <w:t>Σ</w:t>
      </w:r>
      <w:r w:rsidRPr="00797E32">
        <w:rPr>
          <w:i/>
          <w:szCs w:val="28"/>
        </w:rPr>
        <w:t>(</w:t>
      </w:r>
      <w:r w:rsidRPr="00797E32">
        <w:rPr>
          <w:i/>
          <w:szCs w:val="28"/>
          <w:lang w:val="en-US"/>
        </w:rPr>
        <w:t>MW</w:t>
      </w:r>
      <w:r w:rsidRPr="00797E32">
        <w:rPr>
          <w:i/>
          <w:szCs w:val="28"/>
        </w:rPr>
        <w:t>+</w:t>
      </w:r>
      <w:r w:rsidRPr="00797E32">
        <w:rPr>
          <w:i/>
          <w:szCs w:val="28"/>
          <w:lang w:val="en-US"/>
        </w:rPr>
        <w:t>TO</w:t>
      </w:r>
      <w:r w:rsidRPr="00797E32">
        <w:rPr>
          <w:i/>
          <w:szCs w:val="28"/>
        </w:rPr>
        <w:t>)</w:t>
      </w:r>
      <w:r w:rsidRPr="00797E32">
        <w:rPr>
          <w:i/>
          <w:szCs w:val="28"/>
          <w:vertAlign w:val="subscript"/>
          <w:lang w:val="en-US"/>
        </w:rPr>
        <w:t>f</w:t>
      </w:r>
      <w:r w:rsidRPr="00797E32">
        <w:rPr>
          <w:szCs w:val="28"/>
        </w:rPr>
        <w:t xml:space="preserve"> – фактическая численность основных рабочих и инженерно-т</w:t>
      </w:r>
      <w:r w:rsidR="00274E6F">
        <w:rPr>
          <w:szCs w:val="28"/>
        </w:rPr>
        <w:t>ехнического персонала промышленного</w:t>
      </w:r>
      <w:r w:rsidRPr="00797E32">
        <w:rPr>
          <w:szCs w:val="28"/>
        </w:rPr>
        <w:t xml:space="preserve"> предприятия.</w:t>
      </w:r>
    </w:p>
    <w:p w:rsidR="00092444" w:rsidRPr="00797E32" w:rsidRDefault="00092444" w:rsidP="00092444">
      <w:pPr>
        <w:pStyle w:val="12"/>
        <w:widowControl w:val="0"/>
        <w:rPr>
          <w:szCs w:val="28"/>
        </w:rPr>
      </w:pPr>
      <w:r w:rsidRPr="00797E32">
        <w:t xml:space="preserve">Следующий оценочный показатель, который характеризует способность кадровой подсистемы создавать конкурентные преимущества, - это показатель </w:t>
      </w:r>
      <w:proofErr w:type="spellStart"/>
      <w:r w:rsidRPr="00797E32">
        <w:t>знаниевого</w:t>
      </w:r>
      <w:proofErr w:type="spellEnd"/>
      <w:r w:rsidRPr="00797E32">
        <w:t xml:space="preserve"> п</w:t>
      </w:r>
      <w:r w:rsidR="00274E6F">
        <w:t>отенциала сотрудников промышленного</w:t>
      </w:r>
      <w:r w:rsidRPr="00797E32">
        <w:t xml:space="preserve"> предприятия. Для оценки </w:t>
      </w:r>
      <w:proofErr w:type="spellStart"/>
      <w:r w:rsidRPr="00797E32">
        <w:t>знаниевого</w:t>
      </w:r>
      <w:proofErr w:type="spellEnd"/>
      <w:r w:rsidRPr="00797E32">
        <w:t xml:space="preserve"> потенциала целесообразно сопоставлять темпы прироста внесенных персоналом предприятия рационализаторских и изобретательских предложений в текущем и предыдущем периоде на основании следующей формулы</w:t>
      </w:r>
      <w:r w:rsidR="0081557A" w:rsidRPr="00797E32">
        <w:rPr>
          <w:rStyle w:val="a5"/>
        </w:rPr>
        <w:footnoteReference w:id="9"/>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spacing w:line="360" w:lineRule="auto"/>
              <w:rPr>
                <w:szCs w:val="28"/>
              </w:rPr>
            </w:pPr>
            <m:oMathPara>
              <m:oMath>
                <m:r>
                  <w:rPr>
                    <w:rFonts w:ascii="Cambria Math" w:eastAsia="Calibri" w:hAnsi="Cambria Math"/>
                    <w:szCs w:val="28"/>
                  </w:rPr>
                  <m:t>KP</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GR</m:t>
                        </m:r>
                      </m:e>
                      <m:sub>
                        <m:r>
                          <w:rPr>
                            <w:rFonts w:ascii="Cambria Math" w:hAnsi="Cambria Math"/>
                            <w:szCs w:val="28"/>
                          </w:rPr>
                          <m:t>t</m:t>
                        </m:r>
                        <m:r>
                          <m:rPr>
                            <m:sty m:val="p"/>
                          </m:rPr>
                          <w:rPr>
                            <w:rFonts w:ascii="Cambria Math" w:hAnsi="Cambria Math"/>
                            <w:szCs w:val="28"/>
                          </w:rPr>
                          <m:t>+1</m:t>
                        </m:r>
                      </m:sub>
                    </m:sSub>
                  </m:num>
                  <m:den>
                    <m:sSub>
                      <m:sSubPr>
                        <m:ctrlPr>
                          <w:rPr>
                            <w:rFonts w:ascii="Cambria Math" w:hAnsi="Cambria Math"/>
                            <w:szCs w:val="28"/>
                          </w:rPr>
                        </m:ctrlPr>
                      </m:sSubPr>
                      <m:e>
                        <m:r>
                          <w:rPr>
                            <w:rFonts w:ascii="Cambria Math" w:hAnsi="Cambria Math"/>
                            <w:szCs w:val="28"/>
                          </w:rPr>
                          <m:t>GR</m:t>
                        </m:r>
                      </m:e>
                      <m:sub>
                        <m:r>
                          <w:rPr>
                            <w:rFonts w:ascii="Cambria Math" w:hAnsi="Cambria Math"/>
                            <w:szCs w:val="28"/>
                          </w:rPr>
                          <m:t>t</m:t>
                        </m:r>
                        <m:r>
                          <m:rPr>
                            <m:sty m:val="p"/>
                          </m:rPr>
                          <w:rPr>
                            <w:rFonts w:ascii="Cambria Math" w:hAnsi="Cambria Math"/>
                            <w:szCs w:val="28"/>
                          </w:rPr>
                          <m:t>0</m:t>
                        </m:r>
                      </m:sub>
                    </m:sSub>
                  </m:den>
                </m:f>
              </m:oMath>
            </m:oMathPara>
          </w:p>
        </w:tc>
        <w:tc>
          <w:tcPr>
            <w:tcW w:w="1135" w:type="dxa"/>
            <w:vAlign w:val="center"/>
          </w:tcPr>
          <w:p w:rsidR="0081557A" w:rsidRPr="00797E32" w:rsidRDefault="0081557A" w:rsidP="007379F2">
            <w:pPr>
              <w:pStyle w:val="11"/>
              <w:spacing w:line="360" w:lineRule="auto"/>
              <w:rPr>
                <w:szCs w:val="28"/>
              </w:rPr>
            </w:pPr>
            <w:r w:rsidRPr="00797E32">
              <w:rPr>
                <w:szCs w:val="28"/>
              </w:rPr>
              <w:t>(3.5)</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KP</w:t>
      </w:r>
      <w:r w:rsidRPr="00797E32">
        <w:rPr>
          <w:szCs w:val="28"/>
        </w:rPr>
        <w:t xml:space="preserve"> – коэффициент, характеризующий наличие </w:t>
      </w:r>
      <w:proofErr w:type="spellStart"/>
      <w:r w:rsidRPr="00797E32">
        <w:rPr>
          <w:szCs w:val="28"/>
        </w:rPr>
        <w:t>знаниевого</w:t>
      </w:r>
      <w:proofErr w:type="spellEnd"/>
      <w:r w:rsidR="00274E6F">
        <w:rPr>
          <w:szCs w:val="28"/>
        </w:rPr>
        <w:t xml:space="preserve"> потенциала персонала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proofErr w:type="spellStart"/>
      <w:r w:rsidRPr="00797E32">
        <w:rPr>
          <w:i/>
          <w:szCs w:val="28"/>
          <w:lang w:val="en-US"/>
        </w:rPr>
        <w:t>GR</w:t>
      </w:r>
      <w:r w:rsidRPr="00797E32">
        <w:rPr>
          <w:i/>
          <w:szCs w:val="28"/>
          <w:vertAlign w:val="subscript"/>
          <w:lang w:val="en-US"/>
        </w:rPr>
        <w:t>t</w:t>
      </w:r>
      <w:proofErr w:type="spellEnd"/>
      <w:r w:rsidRPr="00797E32">
        <w:rPr>
          <w:i/>
          <w:szCs w:val="28"/>
          <w:vertAlign w:val="subscript"/>
        </w:rPr>
        <w:t>+1</w:t>
      </w:r>
      <w:r w:rsidRPr="00797E32">
        <w:rPr>
          <w:szCs w:val="28"/>
        </w:rPr>
        <w:t xml:space="preserve"> – показатель темпов роста рационализаторских и изобретательских предложений, внесенных сотрудниками предприятия в текущем периоде;</w:t>
      </w:r>
    </w:p>
    <w:p w:rsidR="00092444" w:rsidRPr="00797E32" w:rsidRDefault="00092444" w:rsidP="00092444">
      <w:pPr>
        <w:pStyle w:val="12"/>
        <w:spacing w:line="276" w:lineRule="auto"/>
        <w:rPr>
          <w:szCs w:val="28"/>
        </w:rPr>
      </w:pPr>
      <w:proofErr w:type="spellStart"/>
      <w:r w:rsidRPr="00797E32">
        <w:rPr>
          <w:i/>
          <w:szCs w:val="28"/>
          <w:lang w:val="en-US"/>
        </w:rPr>
        <w:t>GR</w:t>
      </w:r>
      <w:r w:rsidRPr="00797E32">
        <w:rPr>
          <w:i/>
          <w:szCs w:val="28"/>
          <w:vertAlign w:val="subscript"/>
          <w:lang w:val="en-US"/>
        </w:rPr>
        <w:t>t</w:t>
      </w:r>
      <w:proofErr w:type="spellEnd"/>
      <w:r w:rsidRPr="00797E32">
        <w:rPr>
          <w:i/>
          <w:szCs w:val="28"/>
          <w:vertAlign w:val="subscript"/>
        </w:rPr>
        <w:t>+0</w:t>
      </w:r>
      <w:r w:rsidRPr="00797E32">
        <w:rPr>
          <w:szCs w:val="28"/>
        </w:rPr>
        <w:t xml:space="preserve"> – показатель темпов роста рационализаторских и изобретательских предложений, внесенных сотрудниками предприятия в предыдущем периоде.</w:t>
      </w:r>
    </w:p>
    <w:p w:rsidR="00092444" w:rsidRPr="00797E32" w:rsidRDefault="00092444" w:rsidP="00092444">
      <w:pPr>
        <w:pStyle w:val="12"/>
        <w:rPr>
          <w:szCs w:val="28"/>
        </w:rPr>
      </w:pPr>
      <w:r w:rsidRPr="00797E32">
        <w:t xml:space="preserve">Интенсификация трудовой деятельности есть не только одна из главных управленческих задач стратегического плана, показатель интенсивности труда позволяет соразмерно оценивать пропорциональность </w:t>
      </w:r>
      <w:r w:rsidRPr="00797E32">
        <w:lastRenderedPageBreak/>
        <w:t>прироста производительности труда персонала и прироста оплаты труда сотрудников (включая собственно заработную плату, выплаченные премии, нематериальные стимулы и прочие бонусы). Для расчета можно использовать следующую формулу</w:t>
      </w:r>
      <w:r w:rsidR="0081557A" w:rsidRPr="00797E32">
        <w:rPr>
          <w:rStyle w:val="a5"/>
        </w:rPr>
        <w:footnoteReference w:id="10"/>
      </w:r>
      <w:r w:rsidRPr="00797E32">
        <w:t>:</w:t>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IW</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G</m:t>
                        </m:r>
                      </m:e>
                      <m:sub>
                        <m:r>
                          <w:rPr>
                            <w:rFonts w:ascii="Cambria Math" w:hAnsi="Cambria Math"/>
                            <w:szCs w:val="28"/>
                          </w:rPr>
                          <m:t>LP</m:t>
                        </m:r>
                      </m:sub>
                    </m:sSub>
                  </m:num>
                  <m:den>
                    <m:sSub>
                      <m:sSubPr>
                        <m:ctrlPr>
                          <w:rPr>
                            <w:rFonts w:ascii="Cambria Math" w:hAnsi="Cambria Math"/>
                            <w:szCs w:val="28"/>
                          </w:rPr>
                        </m:ctrlPr>
                      </m:sSubPr>
                      <m:e>
                        <m:r>
                          <w:rPr>
                            <w:rFonts w:ascii="Cambria Math" w:hAnsi="Cambria Math"/>
                            <w:szCs w:val="28"/>
                          </w:rPr>
                          <m:t>G</m:t>
                        </m:r>
                      </m:e>
                      <m:sub>
                        <m:r>
                          <w:rPr>
                            <w:rFonts w:ascii="Cambria Math" w:hAnsi="Cambria Math"/>
                            <w:szCs w:val="28"/>
                          </w:rPr>
                          <m:t>W</m:t>
                        </m:r>
                      </m:sub>
                    </m:sSub>
                  </m:den>
                </m:f>
              </m:oMath>
            </m:oMathPara>
          </w:p>
        </w:tc>
        <w:tc>
          <w:tcPr>
            <w:tcW w:w="1135" w:type="dxa"/>
            <w:vAlign w:val="center"/>
          </w:tcPr>
          <w:p w:rsidR="0081557A" w:rsidRPr="00797E32" w:rsidRDefault="0081557A" w:rsidP="007379F2">
            <w:pPr>
              <w:pStyle w:val="11"/>
              <w:rPr>
                <w:szCs w:val="28"/>
              </w:rPr>
            </w:pPr>
            <w:r w:rsidRPr="00797E32">
              <w:rPr>
                <w:szCs w:val="28"/>
              </w:rPr>
              <w:t>(3.6)</w:t>
            </w:r>
          </w:p>
        </w:tc>
      </w:tr>
    </w:tbl>
    <w:p w:rsidR="00092444" w:rsidRPr="00797E32" w:rsidRDefault="00092444" w:rsidP="00092444">
      <w:pPr>
        <w:pStyle w:val="12"/>
        <w:spacing w:line="276" w:lineRule="auto"/>
        <w:rPr>
          <w:szCs w:val="28"/>
        </w:rPr>
      </w:pPr>
      <w:r w:rsidRPr="00797E32">
        <w:rPr>
          <w:szCs w:val="28"/>
        </w:rPr>
        <w:t xml:space="preserve">Где: </w:t>
      </w:r>
      <w:r w:rsidRPr="00797E32">
        <w:rPr>
          <w:i/>
          <w:szCs w:val="28"/>
          <w:lang w:val="en-US"/>
        </w:rPr>
        <w:t>IW</w:t>
      </w:r>
      <w:r w:rsidRPr="00797E32">
        <w:rPr>
          <w:szCs w:val="28"/>
        </w:rPr>
        <w:t xml:space="preserve"> – коэффициент, характеризующий интенсивность трудовой д</w:t>
      </w:r>
      <w:r w:rsidR="00274E6F">
        <w:rPr>
          <w:szCs w:val="28"/>
        </w:rPr>
        <w:t>еятельности персонала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LP</w:t>
      </w:r>
      <w:r w:rsidRPr="00797E32">
        <w:rPr>
          <w:szCs w:val="28"/>
        </w:rPr>
        <w:t xml:space="preserve"> – темпы прироста (за текущий период) показателя производительности труда (в среднем расчете на одного сотрудника предприятия);</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W</w:t>
      </w:r>
      <w:r w:rsidRPr="00797E32">
        <w:rPr>
          <w:szCs w:val="28"/>
        </w:rPr>
        <w:t xml:space="preserve"> – темпы прироста расходов по оплате труда (включая материальное и нематериальное стимулирование) в среднем расчете на одного сотрудника предприятия.</w:t>
      </w:r>
    </w:p>
    <w:p w:rsidR="00092444" w:rsidRPr="00797E32" w:rsidRDefault="00092444" w:rsidP="00092444">
      <w:pPr>
        <w:pStyle w:val="12"/>
      </w:pPr>
      <w:r w:rsidRPr="00797E32">
        <w:t xml:space="preserve">Следующий блок показателей, характеризующих </w:t>
      </w:r>
      <w:r w:rsidR="00256FAC">
        <w:t xml:space="preserve">конкурентоспособность </w:t>
      </w:r>
      <w:r w:rsidRPr="00797E32">
        <w:t xml:space="preserve">промышленных предприятий, - </w:t>
      </w:r>
      <w:r w:rsidRPr="00912787">
        <w:rPr>
          <w:i/>
          <w:u w:val="single"/>
        </w:rPr>
        <w:t>финансово-экономический</w:t>
      </w:r>
      <w:r w:rsidRPr="00797E32">
        <w:t xml:space="preserve">. Данная группа показателей демонстрирует потенциальные способности предприятий создавать экономическую добавленную стоимость или спрэд доходности, достаточность инвестиций в развитие, способность к самофинансированию. </w:t>
      </w:r>
    </w:p>
    <w:p w:rsidR="00092444" w:rsidRPr="00797E32" w:rsidRDefault="00092444" w:rsidP="00092444">
      <w:pPr>
        <w:pStyle w:val="12"/>
        <w:widowControl w:val="0"/>
      </w:pPr>
      <w:r w:rsidRPr="00797E32">
        <w:t>Экономическая добавленная стоимость в общем случае является стратегически значимым показателем, поскольку позволяет оценивать инвесторам / собственникам (потенциальным или уже действующим) действительную производительность и ц</w:t>
      </w:r>
      <w:r w:rsidR="00274E6F">
        <w:t xml:space="preserve">енность промышленного </w:t>
      </w:r>
      <w:r w:rsidRPr="00797E32">
        <w:t>предприятия. Экономическая добавленная стоимость может быть рассчитана традиционным способом (как нетто-операционная прибыль за минусом затрат на капитал)</w:t>
      </w:r>
      <w:r w:rsidR="0081557A" w:rsidRPr="0081557A">
        <w:rPr>
          <w:rStyle w:val="a5"/>
          <w:sz w:val="24"/>
          <w:szCs w:val="24"/>
        </w:rPr>
        <w:footnoteReference w:id="11"/>
      </w:r>
      <w:r w:rsidRPr="00797E32">
        <w:t>, либо через соотношение показателей, характеризующих спрэд доходности</w:t>
      </w:r>
      <w:r w:rsidR="0081557A" w:rsidRPr="0081557A">
        <w:rPr>
          <w:rStyle w:val="a5"/>
          <w:sz w:val="24"/>
          <w:szCs w:val="24"/>
        </w:rPr>
        <w:footnoteReference w:id="12"/>
      </w:r>
      <w:r w:rsidRPr="0081557A">
        <w:rPr>
          <w:sz w:val="24"/>
          <w:szCs w:val="24"/>
        </w:rPr>
        <w:t xml:space="preserve"> </w:t>
      </w:r>
      <w:r w:rsidRPr="00797E32">
        <w:t xml:space="preserve">(через соотношение рентабельности инвестированного капитала к средневзвешенной его стоимости). </w:t>
      </w:r>
    </w:p>
    <w:p w:rsidR="00092444" w:rsidRPr="00797E32" w:rsidRDefault="00092444" w:rsidP="00092444">
      <w:pPr>
        <w:pStyle w:val="12"/>
        <w:widowControl w:val="0"/>
        <w:rPr>
          <w:szCs w:val="28"/>
        </w:rPr>
      </w:pPr>
      <w:r w:rsidRPr="00797E32">
        <w:t xml:space="preserve">Интерпретация показателей следующая: при положительном значении спрэда доходности (если рассматривается разность) или при значении </w:t>
      </w:r>
      <w:r w:rsidRPr="00797E32">
        <w:lastRenderedPageBreak/>
        <w:t>данного показателя, превышающего единицу (если рассматривается соотношение) значение экономической добавленной стоимости всегда положительно. Поэтому расчет соотношения спрэда доходности равнозначен расчету экономической добавленной стоимости. Показате</w:t>
      </w:r>
      <w:r w:rsidR="00274E6F">
        <w:t xml:space="preserve">ль спрэда доходности </w:t>
      </w:r>
      <w:r w:rsidRPr="00797E32">
        <w:t>промышленного предприятия целесообразно рассчитывать на основании следующей формулы</w:t>
      </w:r>
      <w:r w:rsidR="0081557A" w:rsidRPr="00797E32">
        <w:rPr>
          <w:rStyle w:val="a5"/>
        </w:rPr>
        <w:footnoteReference w:id="13"/>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PS</m:t>
                </m:r>
                <m:r>
                  <m:rPr>
                    <m:sty m:val="p"/>
                  </m:rPr>
                  <w:rPr>
                    <w:rFonts w:ascii="Cambria Math" w:hAnsi="Cambria Math"/>
                    <w:szCs w:val="28"/>
                  </w:rPr>
                  <m:t>=</m:t>
                </m:r>
                <m:f>
                  <m:fPr>
                    <m:type m:val="skw"/>
                    <m:ctrlPr>
                      <w:rPr>
                        <w:rFonts w:ascii="Cambria Math" w:hAnsi="Cambria Math"/>
                        <w:szCs w:val="28"/>
                      </w:rPr>
                    </m:ctrlPr>
                  </m:fPr>
                  <m:num>
                    <m:r>
                      <w:rPr>
                        <w:rFonts w:ascii="Cambria Math" w:hAnsi="Cambria Math"/>
                        <w:szCs w:val="28"/>
                      </w:rPr>
                      <m:t>ROIC</m:t>
                    </m:r>
                  </m:num>
                  <m:den>
                    <m:r>
                      <w:rPr>
                        <w:rFonts w:ascii="Cambria Math" w:hAnsi="Cambria Math"/>
                        <w:szCs w:val="28"/>
                      </w:rPr>
                      <m:t>WACC</m:t>
                    </m:r>
                  </m:den>
                </m:f>
              </m:oMath>
            </m:oMathPara>
          </w:p>
        </w:tc>
        <w:tc>
          <w:tcPr>
            <w:tcW w:w="1135" w:type="dxa"/>
            <w:vAlign w:val="center"/>
          </w:tcPr>
          <w:p w:rsidR="0081557A" w:rsidRPr="00797E32" w:rsidRDefault="0081557A" w:rsidP="007379F2">
            <w:pPr>
              <w:pStyle w:val="11"/>
              <w:rPr>
                <w:szCs w:val="28"/>
              </w:rPr>
            </w:pPr>
            <w:r w:rsidRPr="00797E32">
              <w:rPr>
                <w:szCs w:val="28"/>
              </w:rPr>
              <w:t>(3.7)</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PS</w:t>
      </w:r>
      <w:r w:rsidRPr="00797E32">
        <w:rPr>
          <w:szCs w:val="28"/>
        </w:rPr>
        <w:t xml:space="preserve"> – коэффициент, характеризующий наличие спрэда доходности (экономической доб</w:t>
      </w:r>
      <w:r w:rsidR="00274E6F">
        <w:rPr>
          <w:szCs w:val="28"/>
        </w:rPr>
        <w:t>авленной стоимости) у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ROIC</w:t>
      </w:r>
      <w:r w:rsidRPr="00797E32">
        <w:rPr>
          <w:szCs w:val="28"/>
        </w:rPr>
        <w:t xml:space="preserve"> – рентабельность инвестированного капитала (отношение нетто-операционной прибыли к сумме инвестированного капитала</w:t>
      </w:r>
      <w:r w:rsidR="0081557A" w:rsidRPr="0081557A">
        <w:rPr>
          <w:rStyle w:val="a5"/>
          <w:sz w:val="24"/>
          <w:szCs w:val="24"/>
        </w:rPr>
        <w:footnoteReference w:id="14"/>
      </w:r>
      <w:r w:rsidRPr="00797E32">
        <w:rPr>
          <w:szCs w:val="28"/>
        </w:rPr>
        <w:t>);</w:t>
      </w:r>
    </w:p>
    <w:p w:rsidR="00092444" w:rsidRPr="00797E32" w:rsidRDefault="00092444" w:rsidP="00092444">
      <w:pPr>
        <w:pStyle w:val="12"/>
        <w:spacing w:line="276" w:lineRule="auto"/>
        <w:rPr>
          <w:szCs w:val="28"/>
        </w:rPr>
      </w:pPr>
      <w:r w:rsidRPr="00797E32">
        <w:rPr>
          <w:i/>
          <w:szCs w:val="28"/>
          <w:lang w:val="en-US"/>
        </w:rPr>
        <w:t>WACC</w:t>
      </w:r>
      <w:r w:rsidRPr="00797E32">
        <w:rPr>
          <w:szCs w:val="28"/>
        </w:rPr>
        <w:t xml:space="preserve"> – средневзвешенн</w:t>
      </w:r>
      <w:r w:rsidR="00274E6F">
        <w:rPr>
          <w:szCs w:val="28"/>
        </w:rPr>
        <w:t>ая стоимость капитала промышленного</w:t>
      </w:r>
      <w:r w:rsidRPr="00797E32">
        <w:rPr>
          <w:szCs w:val="28"/>
        </w:rPr>
        <w:t xml:space="preserve"> предприятия (средняя процентная ставка по всем источникам финансирования взвешенная на удельный вес данного источника в общей сумме капитала).</w:t>
      </w:r>
    </w:p>
    <w:p w:rsidR="00092444" w:rsidRPr="00797E32" w:rsidRDefault="00092444" w:rsidP="00092444">
      <w:pPr>
        <w:pStyle w:val="12"/>
        <w:rPr>
          <w:szCs w:val="28"/>
        </w:rPr>
      </w:pPr>
      <w:r w:rsidRPr="00797E32">
        <w:t>Следующий показатель, характеризующий конкурентоспособность про</w:t>
      </w:r>
      <w:r w:rsidR="00274E6F">
        <w:t>мышленных</w:t>
      </w:r>
      <w:r w:rsidRPr="00797E32">
        <w:t xml:space="preserve"> предприятий в финансово-экономическом аспекте, можно рассматривать в аспекте достаточности инвестиций в развитие. Современный этап экономического </w:t>
      </w:r>
      <w:proofErr w:type="spellStart"/>
      <w:r w:rsidRPr="00797E32">
        <w:t>эволюционирования</w:t>
      </w:r>
      <w:proofErr w:type="spellEnd"/>
      <w:r w:rsidRPr="00797E32">
        <w:t xml:space="preserve"> на глобальном уровне предполагает значительные вложения в создание и обновление материальных и нематериальных активов промышленных предприятий и прочих хозяйствующих субъектов. Инвестиции в развитие (обновление и восполнение материально-технической базы, создание интеллектуальной собственности, формирование новой бизнес-модели предприятия и т.п.) есть основное условие сохранения </w:t>
      </w:r>
      <w:r w:rsidR="00274E6F">
        <w:t xml:space="preserve">конкурентоспособности </w:t>
      </w:r>
      <w:r w:rsidRPr="00797E32">
        <w:t>промышленных предприятий в долгосрочной перспективе. Для расчета данного показателя целесообразно использовать следующую формулу</w:t>
      </w:r>
      <w:bookmarkStart w:id="1" w:name="_Hlk414972724"/>
      <w:r w:rsidR="0081557A" w:rsidRPr="00797E32">
        <w:rPr>
          <w:rStyle w:val="a5"/>
        </w:rPr>
        <w:footnoteReference w:id="15"/>
      </w:r>
      <w:r w:rsidRPr="00797E32">
        <w:t>:</w:t>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DI</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Inv</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Inv</m:t>
                        </m:r>
                      </m:e>
                      <m:sub>
                        <m:r>
                          <w:rPr>
                            <w:rFonts w:ascii="Cambria Math" w:hAnsi="Cambria Math"/>
                            <w:szCs w:val="28"/>
                          </w:rPr>
                          <m:t>p</m:t>
                        </m:r>
                      </m:sub>
                    </m:sSub>
                  </m:den>
                </m:f>
              </m:oMath>
            </m:oMathPara>
          </w:p>
        </w:tc>
        <w:tc>
          <w:tcPr>
            <w:tcW w:w="1135" w:type="dxa"/>
            <w:vAlign w:val="center"/>
          </w:tcPr>
          <w:p w:rsidR="0081557A" w:rsidRPr="00797E32" w:rsidRDefault="0081557A" w:rsidP="007379F2">
            <w:pPr>
              <w:pStyle w:val="11"/>
              <w:rPr>
                <w:szCs w:val="28"/>
              </w:rPr>
            </w:pPr>
            <w:r w:rsidRPr="00797E32">
              <w:rPr>
                <w:szCs w:val="28"/>
              </w:rPr>
              <w:t>(3.8)</w:t>
            </w:r>
          </w:p>
        </w:tc>
      </w:tr>
    </w:tbl>
    <w:p w:rsidR="00092444" w:rsidRPr="00797E32" w:rsidRDefault="00092444" w:rsidP="00092444">
      <w:pPr>
        <w:pStyle w:val="12"/>
        <w:spacing w:line="276" w:lineRule="auto"/>
        <w:rPr>
          <w:szCs w:val="28"/>
        </w:rPr>
      </w:pPr>
      <w:r w:rsidRPr="00797E32">
        <w:rPr>
          <w:szCs w:val="28"/>
        </w:rPr>
        <w:lastRenderedPageBreak/>
        <w:t>Где:</w:t>
      </w:r>
      <w:r w:rsidRPr="00797E32">
        <w:rPr>
          <w:i/>
          <w:szCs w:val="28"/>
        </w:rPr>
        <w:t xml:space="preserve"> </w:t>
      </w:r>
      <w:r w:rsidRPr="00797E32">
        <w:rPr>
          <w:i/>
          <w:szCs w:val="28"/>
          <w:lang w:val="en-US"/>
        </w:rPr>
        <w:t>DI</w:t>
      </w:r>
      <w:r w:rsidRPr="00797E32">
        <w:rPr>
          <w:szCs w:val="28"/>
        </w:rPr>
        <w:t xml:space="preserve"> – коэффициент, характеризующий достаточность инвестиций в развитие предприятия;</w:t>
      </w:r>
    </w:p>
    <w:p w:rsidR="00092444" w:rsidRPr="00797E32" w:rsidRDefault="00092444" w:rsidP="00092444">
      <w:pPr>
        <w:pStyle w:val="12"/>
        <w:spacing w:line="276" w:lineRule="auto"/>
        <w:rPr>
          <w:szCs w:val="28"/>
        </w:rPr>
      </w:pPr>
      <w:proofErr w:type="spellStart"/>
      <w:r w:rsidRPr="00797E32">
        <w:rPr>
          <w:i/>
          <w:szCs w:val="28"/>
          <w:lang w:val="en-US"/>
        </w:rPr>
        <w:t>Inv</w:t>
      </w:r>
      <w:r w:rsidRPr="00797E32">
        <w:rPr>
          <w:i/>
          <w:szCs w:val="28"/>
          <w:vertAlign w:val="subscript"/>
          <w:lang w:val="en-US"/>
        </w:rPr>
        <w:t>f</w:t>
      </w:r>
      <w:proofErr w:type="spellEnd"/>
      <w:r w:rsidRPr="00797E32">
        <w:rPr>
          <w:szCs w:val="28"/>
        </w:rPr>
        <w:t xml:space="preserve"> – инвестиции, фактически направленные на фи</w:t>
      </w:r>
      <w:r w:rsidR="00274E6F">
        <w:rPr>
          <w:szCs w:val="28"/>
        </w:rPr>
        <w:t>нансирование развития промышленного</w:t>
      </w:r>
      <w:r w:rsidRPr="00797E32">
        <w:rPr>
          <w:szCs w:val="28"/>
        </w:rPr>
        <w:t xml:space="preserve"> предприятия в текущем периоде;</w:t>
      </w:r>
    </w:p>
    <w:p w:rsidR="00092444" w:rsidRPr="00797E32" w:rsidRDefault="00092444" w:rsidP="00092444">
      <w:pPr>
        <w:pStyle w:val="12"/>
        <w:spacing w:line="276" w:lineRule="auto"/>
        <w:rPr>
          <w:szCs w:val="28"/>
        </w:rPr>
      </w:pPr>
      <w:proofErr w:type="spellStart"/>
      <w:r w:rsidRPr="00797E32">
        <w:rPr>
          <w:i/>
          <w:szCs w:val="28"/>
          <w:lang w:val="en-US"/>
        </w:rPr>
        <w:t>Inv</w:t>
      </w:r>
      <w:r w:rsidRPr="00797E32">
        <w:rPr>
          <w:i/>
          <w:szCs w:val="28"/>
          <w:vertAlign w:val="subscript"/>
          <w:lang w:val="en-US"/>
        </w:rPr>
        <w:t>p</w:t>
      </w:r>
      <w:proofErr w:type="spellEnd"/>
      <w:r w:rsidRPr="00797E32">
        <w:rPr>
          <w:szCs w:val="28"/>
        </w:rPr>
        <w:t xml:space="preserve"> – плановый объем инвестиций, характеризующий потребности развития предприятия в текущем периоде.</w:t>
      </w:r>
      <w:bookmarkEnd w:id="1"/>
    </w:p>
    <w:p w:rsidR="00092444" w:rsidRPr="00797E32" w:rsidRDefault="00092444" w:rsidP="00092444">
      <w:pPr>
        <w:pStyle w:val="12"/>
        <w:rPr>
          <w:szCs w:val="28"/>
        </w:rPr>
      </w:pPr>
      <w:r w:rsidRPr="00797E32">
        <w:t>Достаточный объем инвестиций в развитие не всегда может быть осуществлен только за сче</w:t>
      </w:r>
      <w:r w:rsidR="00274E6F">
        <w:t>т собственных средств промышленного</w:t>
      </w:r>
      <w:r w:rsidRPr="00797E32">
        <w:t xml:space="preserve"> предприятия, привлечение заемных средств является с одной стороны вынужденной мерой, но с другой стороны объективной необходимостью, поскольку финансирование функционирования и развития предприятия исключительно за счет собственных средств не всегда возможно. Однако при этом важно сохранять достаточную финансовую автономию и поддерживать целевой уровень самофинансирования. Для оценки уровня самофинансирования целесообразно воспользоваться следующей формулой</w:t>
      </w:r>
      <w:r w:rsidR="0081557A" w:rsidRPr="00797E32">
        <w:rPr>
          <w:rStyle w:val="a5"/>
        </w:rPr>
        <w:footnoteReference w:id="16"/>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SF</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OF</m:t>
                        </m:r>
                      </m:e>
                      <m:sub>
                        <m:r>
                          <w:rPr>
                            <w:rFonts w:ascii="Cambria Math" w:hAnsi="Cambria Math"/>
                            <w:szCs w:val="28"/>
                          </w:rPr>
                          <m:t>RD</m:t>
                        </m:r>
                      </m:sub>
                    </m:sSub>
                  </m:num>
                  <m:den>
                    <m:sSub>
                      <m:sSubPr>
                        <m:ctrlPr>
                          <w:rPr>
                            <w:rFonts w:ascii="Cambria Math" w:hAnsi="Cambria Math"/>
                            <w:szCs w:val="28"/>
                          </w:rPr>
                        </m:ctrlPr>
                      </m:sSubPr>
                      <m:e>
                        <m:r>
                          <w:rPr>
                            <w:rFonts w:ascii="Cambria Math" w:hAnsi="Cambria Math"/>
                            <w:szCs w:val="28"/>
                          </w:rPr>
                          <m:t>R</m:t>
                        </m:r>
                      </m:e>
                      <m:sub>
                        <m:r>
                          <w:rPr>
                            <w:rFonts w:ascii="Cambria Math" w:hAnsi="Cambria Math"/>
                            <w:szCs w:val="28"/>
                          </w:rPr>
                          <m:t>FD</m:t>
                        </m:r>
                      </m:sub>
                    </m:sSub>
                  </m:den>
                </m:f>
              </m:oMath>
            </m:oMathPara>
          </w:p>
        </w:tc>
        <w:tc>
          <w:tcPr>
            <w:tcW w:w="1135" w:type="dxa"/>
            <w:vAlign w:val="center"/>
          </w:tcPr>
          <w:p w:rsidR="0081557A" w:rsidRPr="00797E32" w:rsidRDefault="0081557A" w:rsidP="007379F2">
            <w:pPr>
              <w:pStyle w:val="11"/>
              <w:rPr>
                <w:szCs w:val="28"/>
              </w:rPr>
            </w:pPr>
            <w:r w:rsidRPr="00797E32">
              <w:rPr>
                <w:szCs w:val="28"/>
              </w:rPr>
              <w:t>(3.9)</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SF</w:t>
      </w:r>
      <w:r w:rsidRPr="00797E32">
        <w:rPr>
          <w:szCs w:val="28"/>
        </w:rPr>
        <w:t xml:space="preserve"> – коэффициент, характеризующий уровень самофинансирования потребностей функци</w:t>
      </w:r>
      <w:r w:rsidR="00274E6F">
        <w:rPr>
          <w:szCs w:val="28"/>
        </w:rPr>
        <w:t>онирования и развития промышленного</w:t>
      </w:r>
      <w:r w:rsidRPr="00797E32">
        <w:rPr>
          <w:szCs w:val="28"/>
        </w:rPr>
        <w:t xml:space="preserve"> предприятия;</w:t>
      </w:r>
    </w:p>
    <w:p w:rsidR="00092444" w:rsidRPr="00797E32" w:rsidRDefault="00092444" w:rsidP="00092444">
      <w:pPr>
        <w:pStyle w:val="12"/>
        <w:widowControl w:val="0"/>
        <w:spacing w:line="276" w:lineRule="auto"/>
        <w:rPr>
          <w:szCs w:val="28"/>
        </w:rPr>
      </w:pPr>
      <w:r w:rsidRPr="00797E32">
        <w:rPr>
          <w:i/>
          <w:szCs w:val="28"/>
          <w:lang w:val="en-US"/>
        </w:rPr>
        <w:t>OF</w:t>
      </w:r>
      <w:r w:rsidRPr="00797E32">
        <w:rPr>
          <w:i/>
          <w:szCs w:val="28"/>
          <w:vertAlign w:val="subscript"/>
          <w:lang w:val="en-US"/>
        </w:rPr>
        <w:t>RD</w:t>
      </w:r>
      <w:r w:rsidRPr="00797E32">
        <w:rPr>
          <w:szCs w:val="28"/>
        </w:rPr>
        <w:t xml:space="preserve"> – объем собственных средств предприятия, направленный на финансирование потребностей функционирования и развития </w:t>
      </w:r>
      <w:r w:rsidR="00274E6F">
        <w:rPr>
          <w:szCs w:val="28"/>
        </w:rPr>
        <w:t>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R</w:t>
      </w:r>
      <w:r w:rsidRPr="00797E32">
        <w:rPr>
          <w:i/>
          <w:szCs w:val="28"/>
          <w:vertAlign w:val="subscript"/>
          <w:lang w:val="en-US"/>
        </w:rPr>
        <w:t>FD</w:t>
      </w:r>
      <w:r w:rsidRPr="00797E32">
        <w:rPr>
          <w:szCs w:val="28"/>
        </w:rPr>
        <w:t xml:space="preserve"> – плановый объем потребностей функционирования и разви</w:t>
      </w:r>
      <w:r w:rsidR="00274E6F">
        <w:rPr>
          <w:szCs w:val="28"/>
        </w:rPr>
        <w:t>тия промышленного</w:t>
      </w:r>
      <w:r w:rsidRPr="00797E32">
        <w:rPr>
          <w:szCs w:val="28"/>
        </w:rPr>
        <w:t xml:space="preserve"> предприятия.</w:t>
      </w:r>
    </w:p>
    <w:p w:rsidR="00092444" w:rsidRPr="00797E32" w:rsidRDefault="00092444" w:rsidP="00092444">
      <w:pPr>
        <w:pStyle w:val="12"/>
      </w:pPr>
      <w:r w:rsidRPr="00797E32">
        <w:t xml:space="preserve">Еще одна значимая группа показателей, характеризующих конкурентоспособность функционирования и развития промышленных предприятий, заключается в </w:t>
      </w:r>
      <w:r w:rsidRPr="00274E6F">
        <w:rPr>
          <w:i/>
          <w:u w:val="single"/>
        </w:rPr>
        <w:t>снабженческо-сбытовой подсистеме</w:t>
      </w:r>
      <w:r w:rsidRPr="00797E32">
        <w:t>. Снабжение необходимыми ресурсами, равно как и сбыт готовой продукции представляют собой начальное и конечное звено осн</w:t>
      </w:r>
      <w:r w:rsidR="00FD1DFC">
        <w:t>овного бизнес-процесса промышленных</w:t>
      </w:r>
      <w:r w:rsidRPr="00797E32">
        <w:t xml:space="preserve"> предприятий. </w:t>
      </w:r>
    </w:p>
    <w:p w:rsidR="00092444" w:rsidRPr="00797E32" w:rsidRDefault="00092444" w:rsidP="00092444">
      <w:pPr>
        <w:pStyle w:val="12"/>
      </w:pPr>
      <w:r w:rsidRPr="00797E32">
        <w:lastRenderedPageBreak/>
        <w:t>К</w:t>
      </w:r>
      <w:r w:rsidR="00FD1DFC">
        <w:t xml:space="preserve">онкурентоспособность </w:t>
      </w:r>
      <w:r w:rsidRPr="00797E32">
        <w:t>промышленного предприятия в снабженческо-сбытовом аспекте стоит рассматривать через показатели выполнения плана сбыта продукции при заданном плане производства, показатели выполнения плана снабжения при заданном производственном объеме, интенсивности продвижения продукции на рынке.</w:t>
      </w:r>
    </w:p>
    <w:p w:rsidR="00092444" w:rsidRPr="00797E32" w:rsidRDefault="00092444" w:rsidP="00092444">
      <w:pPr>
        <w:pStyle w:val="12"/>
        <w:rPr>
          <w:szCs w:val="28"/>
        </w:rPr>
      </w:pPr>
      <w:r w:rsidRPr="00797E32">
        <w:t xml:space="preserve">Показатель достаточности снабжения </w:t>
      </w:r>
      <w:r w:rsidR="00FD1DFC">
        <w:t>основной деятельности промышленного</w:t>
      </w:r>
      <w:r w:rsidRPr="00797E32">
        <w:t xml:space="preserve"> предприятия необходимыми ресурсами целесообразно оценивать путем сопоставления с фактическими потребностями производства в этих ресурсах на основании следующей формулы</w:t>
      </w:r>
      <w:r w:rsidR="0081557A" w:rsidRPr="00797E32">
        <w:rPr>
          <w:rStyle w:val="a5"/>
        </w:rPr>
        <w:footnoteReference w:id="17"/>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AS</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S</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RP</m:t>
                        </m:r>
                      </m:e>
                      <m:sub>
                        <m:r>
                          <w:rPr>
                            <w:rFonts w:ascii="Cambria Math" w:hAnsi="Cambria Math"/>
                            <w:szCs w:val="28"/>
                          </w:rPr>
                          <m:t>f</m:t>
                        </m:r>
                      </m:sub>
                    </m:sSub>
                  </m:den>
                </m:f>
              </m:oMath>
            </m:oMathPara>
          </w:p>
        </w:tc>
        <w:tc>
          <w:tcPr>
            <w:tcW w:w="1135" w:type="dxa"/>
            <w:vAlign w:val="center"/>
          </w:tcPr>
          <w:p w:rsidR="0081557A" w:rsidRPr="00797E32" w:rsidRDefault="0081557A" w:rsidP="007379F2">
            <w:pPr>
              <w:pStyle w:val="11"/>
              <w:rPr>
                <w:szCs w:val="28"/>
              </w:rPr>
            </w:pPr>
            <w:r w:rsidRPr="00797E32">
              <w:rPr>
                <w:szCs w:val="28"/>
              </w:rPr>
              <w:t>(3.10)</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AS</w:t>
      </w:r>
      <w:r w:rsidRPr="00797E32">
        <w:rPr>
          <w:szCs w:val="28"/>
        </w:rPr>
        <w:t xml:space="preserve"> – коэффициент, характеризующий достаточность снабжения производст</w:t>
      </w:r>
      <w:r w:rsidR="00FD1DFC">
        <w:rPr>
          <w:szCs w:val="28"/>
        </w:rPr>
        <w:t>венной деятельности промышленного</w:t>
      </w:r>
      <w:r w:rsidRPr="00797E32">
        <w:rPr>
          <w:szCs w:val="28"/>
        </w:rPr>
        <w:t xml:space="preserve"> предприятия необходимыми ресурсами;</w:t>
      </w:r>
    </w:p>
    <w:p w:rsidR="00092444" w:rsidRPr="00797E32" w:rsidRDefault="00092444" w:rsidP="00092444">
      <w:pPr>
        <w:pStyle w:val="12"/>
        <w:spacing w:line="276" w:lineRule="auto"/>
        <w:rPr>
          <w:szCs w:val="28"/>
        </w:rPr>
      </w:pPr>
      <w:r w:rsidRPr="00797E32">
        <w:rPr>
          <w:i/>
          <w:szCs w:val="28"/>
          <w:lang w:val="en-US"/>
        </w:rPr>
        <w:t>S</w:t>
      </w:r>
      <w:r w:rsidRPr="00797E32">
        <w:rPr>
          <w:i/>
          <w:szCs w:val="28"/>
          <w:vertAlign w:val="subscript"/>
          <w:lang w:val="en-US"/>
        </w:rPr>
        <w:t>f</w:t>
      </w:r>
      <w:r w:rsidRPr="00797E32">
        <w:rPr>
          <w:szCs w:val="28"/>
        </w:rPr>
        <w:t xml:space="preserve"> – показатель фактического объема снабжения произво</w:t>
      </w:r>
      <w:r w:rsidR="00FD1DFC">
        <w:rPr>
          <w:szCs w:val="28"/>
        </w:rPr>
        <w:t>дственной деятельности промышленного</w:t>
      </w:r>
      <w:r w:rsidRPr="00797E32">
        <w:rPr>
          <w:szCs w:val="28"/>
        </w:rPr>
        <w:t xml:space="preserve"> предприятия необходимыми (требуемыми) ресурсами;</w:t>
      </w:r>
    </w:p>
    <w:p w:rsidR="00092444" w:rsidRPr="00797E32" w:rsidRDefault="00092444" w:rsidP="00092444">
      <w:pPr>
        <w:pStyle w:val="12"/>
        <w:spacing w:line="276" w:lineRule="auto"/>
        <w:rPr>
          <w:szCs w:val="28"/>
        </w:rPr>
      </w:pPr>
      <w:proofErr w:type="spellStart"/>
      <w:r w:rsidRPr="00797E32">
        <w:rPr>
          <w:i/>
          <w:szCs w:val="28"/>
          <w:lang w:val="en-US"/>
        </w:rPr>
        <w:t>RP</w:t>
      </w:r>
      <w:r w:rsidRPr="00797E32">
        <w:rPr>
          <w:i/>
          <w:szCs w:val="28"/>
          <w:vertAlign w:val="subscript"/>
          <w:lang w:val="en-US"/>
        </w:rPr>
        <w:t>f</w:t>
      </w:r>
      <w:proofErr w:type="spellEnd"/>
      <w:r w:rsidRPr="00797E32">
        <w:rPr>
          <w:szCs w:val="28"/>
        </w:rPr>
        <w:t xml:space="preserve"> – фактический объем потребностей производственной деятельности </w:t>
      </w:r>
      <w:r w:rsidR="00FD1DFC">
        <w:rPr>
          <w:szCs w:val="28"/>
        </w:rPr>
        <w:t>промышленного</w:t>
      </w:r>
      <w:r w:rsidRPr="00797E32">
        <w:rPr>
          <w:szCs w:val="28"/>
        </w:rPr>
        <w:t xml:space="preserve"> предприятия в необходимых ресурсах.</w:t>
      </w:r>
    </w:p>
    <w:p w:rsidR="00092444" w:rsidRPr="00797E32" w:rsidRDefault="00092444" w:rsidP="00092444">
      <w:pPr>
        <w:pStyle w:val="12"/>
      </w:pPr>
      <w:r w:rsidRPr="00797E32">
        <w:t>Достаточность ресурсов, необходимых для ведения производственной деятельности и, соответственно, для производства готовой продукции формиру</w:t>
      </w:r>
      <w:r w:rsidR="00FD1DFC">
        <w:t>ет сбытовой потенциал промышленного</w:t>
      </w:r>
      <w:r w:rsidRPr="00797E32">
        <w:t xml:space="preserve"> предприятия, за счет которого удовлетворяется текущий потребительский спрос на продукцию и формируется отложенный потребительский спрос. </w:t>
      </w:r>
    </w:p>
    <w:p w:rsidR="00092444" w:rsidRPr="00797E32" w:rsidRDefault="00092444" w:rsidP="00092444">
      <w:pPr>
        <w:pStyle w:val="12"/>
        <w:rPr>
          <w:szCs w:val="28"/>
        </w:rPr>
      </w:pPr>
      <w:r w:rsidRPr="00797E32">
        <w:t>Сбытовые показатели в свою очередь демонстрируют способность предприятия удовлетворять потребительский спрос при заданном объеме производства, кроме этого динамические показатели, характеризующие изменения объемов сбыта, косвенным образом характеризуют конкурентоспособность продукции на рынке. Интенсивн</w:t>
      </w:r>
      <w:r w:rsidR="00FD1DFC">
        <w:t xml:space="preserve">ость сбыта продукции </w:t>
      </w:r>
      <w:r w:rsidRPr="00797E32">
        <w:t>промышленного предприятия целесообразно оценивать на основании следующей формулы, представленной ниже</w:t>
      </w:r>
      <w:bookmarkStart w:id="2" w:name="_Hlk414974846"/>
      <w:r w:rsidR="0081557A" w:rsidRPr="00797E32">
        <w:rPr>
          <w:rStyle w:val="a5"/>
        </w:rPr>
        <w:footnoteReference w:id="18"/>
      </w:r>
      <w:r w:rsidRPr="00797E32">
        <w:t>:</w:t>
      </w:r>
    </w:p>
    <w:p w:rsidR="00092444" w:rsidRPr="00797E32" w:rsidRDefault="00092444" w:rsidP="00092444">
      <w:pPr>
        <w:pStyle w:val="11"/>
        <w:rPr>
          <w:szCs w:val="28"/>
        </w:rPr>
      </w:pP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797E32" w:rsidRDefault="0081557A" w:rsidP="007379F2">
            <w:pPr>
              <w:pStyle w:val="11"/>
              <w:rPr>
                <w:szCs w:val="28"/>
              </w:rPr>
            </w:pPr>
            <w:r w:rsidRPr="00797E32">
              <w:rPr>
                <w:szCs w:val="28"/>
              </w:rPr>
              <w:tab/>
            </w:r>
            <m:oMath>
              <m:r>
                <w:rPr>
                  <w:rFonts w:ascii="Cambria Math" w:eastAsia="Calibri" w:hAnsi="Cambria Math"/>
                  <w:szCs w:val="28"/>
                </w:rPr>
                <m:t>DP</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G</m:t>
                      </m:r>
                    </m:e>
                    <m:sub>
                      <m:r>
                        <w:rPr>
                          <w:rFonts w:ascii="Cambria Math" w:hAnsi="Cambria Math"/>
                          <w:szCs w:val="28"/>
                        </w:rPr>
                        <m:t>D</m:t>
                      </m:r>
                    </m:sub>
                  </m:sSub>
                </m:num>
                <m:den>
                  <m:sSub>
                    <m:sSubPr>
                      <m:ctrlPr>
                        <w:rPr>
                          <w:rFonts w:ascii="Cambria Math" w:hAnsi="Cambria Math"/>
                          <w:szCs w:val="28"/>
                        </w:rPr>
                      </m:ctrlPr>
                    </m:sSubPr>
                    <m:e>
                      <m:r>
                        <w:rPr>
                          <w:rFonts w:ascii="Cambria Math" w:hAnsi="Cambria Math"/>
                          <w:szCs w:val="28"/>
                        </w:rPr>
                        <m:t>G</m:t>
                      </m:r>
                    </m:e>
                    <m:sub>
                      <m:r>
                        <w:rPr>
                          <w:rFonts w:ascii="Cambria Math" w:hAnsi="Cambria Math"/>
                          <w:szCs w:val="28"/>
                        </w:rPr>
                        <m:t>P</m:t>
                      </m:r>
                    </m:sub>
                  </m:sSub>
                </m:den>
              </m:f>
            </m:oMath>
          </w:p>
        </w:tc>
        <w:tc>
          <w:tcPr>
            <w:tcW w:w="1135" w:type="dxa"/>
            <w:vAlign w:val="center"/>
          </w:tcPr>
          <w:p w:rsidR="0081557A" w:rsidRPr="00797E32" w:rsidRDefault="0081557A" w:rsidP="007379F2">
            <w:pPr>
              <w:pStyle w:val="11"/>
              <w:rPr>
                <w:szCs w:val="28"/>
              </w:rPr>
            </w:pPr>
            <w:r w:rsidRPr="00797E32">
              <w:rPr>
                <w:szCs w:val="28"/>
              </w:rPr>
              <w:t>(3.11)</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DP</w:t>
      </w:r>
      <w:r w:rsidRPr="00797E32">
        <w:rPr>
          <w:szCs w:val="28"/>
        </w:rPr>
        <w:t xml:space="preserve"> – коэффициент, характеризующий интенсив</w:t>
      </w:r>
      <w:r w:rsidR="00FD1DFC">
        <w:rPr>
          <w:szCs w:val="28"/>
        </w:rPr>
        <w:t>ность сбыта продукции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D</w:t>
      </w:r>
      <w:r w:rsidRPr="00797E32">
        <w:rPr>
          <w:i/>
          <w:szCs w:val="28"/>
          <w:vertAlign w:val="subscript"/>
        </w:rPr>
        <w:t xml:space="preserve"> </w:t>
      </w:r>
      <w:r w:rsidRPr="00797E32">
        <w:rPr>
          <w:szCs w:val="28"/>
        </w:rPr>
        <w:t xml:space="preserve">– темпы прироста объемов сбыта продукции </w:t>
      </w:r>
      <w:r w:rsidR="00FD1DFC">
        <w:rPr>
          <w:szCs w:val="28"/>
        </w:rPr>
        <w:t>промышленного</w:t>
      </w:r>
      <w:r w:rsidRPr="00797E32">
        <w:rPr>
          <w:szCs w:val="28"/>
        </w:rPr>
        <w:t xml:space="preserve"> предприятия в текущем периоде;</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P</w:t>
      </w:r>
      <w:r w:rsidRPr="00797E32">
        <w:rPr>
          <w:szCs w:val="28"/>
        </w:rPr>
        <w:t xml:space="preserve"> – темпы прироста объемов производства продукции </w:t>
      </w:r>
      <w:r w:rsidR="00FD1DFC">
        <w:rPr>
          <w:szCs w:val="28"/>
        </w:rPr>
        <w:t>промышленного</w:t>
      </w:r>
      <w:r w:rsidRPr="00797E32">
        <w:rPr>
          <w:szCs w:val="28"/>
        </w:rPr>
        <w:t xml:space="preserve"> предприятия в текущем периоде.</w:t>
      </w:r>
      <w:bookmarkEnd w:id="2"/>
    </w:p>
    <w:p w:rsidR="00092444" w:rsidRPr="00797E32" w:rsidRDefault="00092444" w:rsidP="00092444">
      <w:pPr>
        <w:pStyle w:val="12"/>
        <w:rPr>
          <w:szCs w:val="28"/>
        </w:rPr>
      </w:pPr>
      <w:r w:rsidRPr="00797E32">
        <w:t xml:space="preserve">Следующий значимый показатель конкурентоспособности </w:t>
      </w:r>
      <w:bookmarkStart w:id="3" w:name="_Hlk414974615"/>
      <w:r w:rsidRPr="00797E32">
        <w:t xml:space="preserve"> промышленных предприятий</w:t>
      </w:r>
      <w:bookmarkEnd w:id="3"/>
      <w:r w:rsidRPr="00797E32">
        <w:t xml:space="preserve"> в аспекте функционирования и развития снабженческо-сбытовой подсистемы характеризует интенсивность продвижения продукции на рынках сбыта. Фактически данный показатель демонстрирует способности предприятия наращивать доходы от операционной деятельности за счет вложения средств в маркетинг. Расчет данного показателя целесообразно проводить на основании следующей формулы</w:t>
      </w:r>
      <w:r w:rsidR="0081557A" w:rsidRPr="00797E32">
        <w:rPr>
          <w:rStyle w:val="a5"/>
        </w:rPr>
        <w:footnoteReference w:id="19"/>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MI</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G</m:t>
                        </m:r>
                      </m:e>
                      <m:sub>
                        <m:r>
                          <w:rPr>
                            <w:rFonts w:ascii="Cambria Math" w:hAnsi="Cambria Math"/>
                            <w:szCs w:val="28"/>
                          </w:rPr>
                          <m:t>D</m:t>
                        </m:r>
                      </m:sub>
                    </m:sSub>
                  </m:num>
                  <m:den>
                    <m:sSub>
                      <m:sSubPr>
                        <m:ctrlPr>
                          <w:rPr>
                            <w:rFonts w:ascii="Cambria Math" w:hAnsi="Cambria Math"/>
                            <w:szCs w:val="28"/>
                          </w:rPr>
                        </m:ctrlPr>
                      </m:sSubPr>
                      <m:e>
                        <m:r>
                          <w:rPr>
                            <w:rFonts w:ascii="Cambria Math" w:hAnsi="Cambria Math"/>
                            <w:szCs w:val="28"/>
                          </w:rPr>
                          <m:t>G</m:t>
                        </m:r>
                      </m:e>
                      <m:sub>
                        <m:r>
                          <w:rPr>
                            <w:rFonts w:ascii="Cambria Math" w:hAnsi="Cambria Math"/>
                            <w:szCs w:val="28"/>
                          </w:rPr>
                          <m:t>M</m:t>
                        </m:r>
                      </m:sub>
                    </m:sSub>
                  </m:den>
                </m:f>
              </m:oMath>
            </m:oMathPara>
          </w:p>
        </w:tc>
        <w:tc>
          <w:tcPr>
            <w:tcW w:w="1135" w:type="dxa"/>
            <w:vAlign w:val="center"/>
          </w:tcPr>
          <w:p w:rsidR="0081557A" w:rsidRPr="00797E32" w:rsidRDefault="0081557A" w:rsidP="007379F2">
            <w:pPr>
              <w:pStyle w:val="11"/>
              <w:rPr>
                <w:szCs w:val="28"/>
              </w:rPr>
            </w:pPr>
            <w:r w:rsidRPr="00797E32">
              <w:rPr>
                <w:szCs w:val="28"/>
              </w:rPr>
              <w:t>(3.12)</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MI</w:t>
      </w:r>
      <w:r w:rsidRPr="00797E32">
        <w:rPr>
          <w:szCs w:val="28"/>
        </w:rPr>
        <w:t xml:space="preserve"> – коэффициент, характеризующий интенсивность </w:t>
      </w:r>
      <w:r w:rsidR="00FD1DFC">
        <w:rPr>
          <w:szCs w:val="28"/>
        </w:rPr>
        <w:t>продвижения продукции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D</w:t>
      </w:r>
      <w:r w:rsidRPr="00797E32">
        <w:rPr>
          <w:i/>
          <w:szCs w:val="28"/>
          <w:vertAlign w:val="subscript"/>
        </w:rPr>
        <w:t xml:space="preserve"> </w:t>
      </w:r>
      <w:r w:rsidRPr="00797E32">
        <w:rPr>
          <w:szCs w:val="28"/>
        </w:rPr>
        <w:t>– темпы прироста объемо</w:t>
      </w:r>
      <w:r w:rsidR="00FD1DFC">
        <w:rPr>
          <w:szCs w:val="28"/>
        </w:rPr>
        <w:t>в сбыта продукции промышленного</w:t>
      </w:r>
      <w:r w:rsidRPr="00797E32">
        <w:rPr>
          <w:szCs w:val="28"/>
        </w:rPr>
        <w:t xml:space="preserve"> предприятия в текущем периоде;</w:t>
      </w:r>
    </w:p>
    <w:p w:rsidR="00092444" w:rsidRPr="00797E32" w:rsidRDefault="00092444" w:rsidP="00092444">
      <w:pPr>
        <w:pStyle w:val="12"/>
        <w:spacing w:line="276" w:lineRule="auto"/>
        <w:rPr>
          <w:szCs w:val="28"/>
        </w:rPr>
      </w:pPr>
      <w:r w:rsidRPr="00797E32">
        <w:rPr>
          <w:i/>
          <w:szCs w:val="28"/>
          <w:lang w:val="en-US"/>
        </w:rPr>
        <w:t>G</w:t>
      </w:r>
      <w:r w:rsidRPr="00797E32">
        <w:rPr>
          <w:i/>
          <w:szCs w:val="28"/>
          <w:vertAlign w:val="subscript"/>
          <w:lang w:val="en-US"/>
        </w:rPr>
        <w:t>M</w:t>
      </w:r>
      <w:r w:rsidRPr="00797E32">
        <w:rPr>
          <w:szCs w:val="28"/>
        </w:rPr>
        <w:t xml:space="preserve"> – темпы прироста расходов на маркетинг и стимулирование спроса в текущем периоде.</w:t>
      </w:r>
    </w:p>
    <w:p w:rsidR="00092444" w:rsidRPr="00797E32" w:rsidRDefault="00092444" w:rsidP="00092444">
      <w:pPr>
        <w:pStyle w:val="12"/>
        <w:widowControl w:val="0"/>
      </w:pPr>
      <w:r w:rsidRPr="00FD1DFC">
        <w:rPr>
          <w:i/>
          <w:u w:val="single"/>
        </w:rPr>
        <w:t>Материально-техническая подсистема</w:t>
      </w:r>
      <w:r w:rsidR="00FD1DFC">
        <w:t xml:space="preserve"> </w:t>
      </w:r>
      <w:r w:rsidRPr="00797E32">
        <w:t xml:space="preserve">промышленных предприятий также формирует ключевые компетенции или конкурентные преимущества данных хозяйствующих субъектов. Материально-техническая подсистема в аспекте формирования </w:t>
      </w:r>
      <w:r w:rsidR="00FD1DFC">
        <w:t>конкурентоспособности промышленного</w:t>
      </w:r>
      <w:r w:rsidRPr="00797E32">
        <w:t xml:space="preserve"> предприятия характеризуется тремя основными показателями: качеством получаемых ресурсов, своевременным обновлением изношенных (устаревших морально или физически) основных фондов, своевременным технологическим обновлением. </w:t>
      </w:r>
    </w:p>
    <w:p w:rsidR="008E1F51" w:rsidRDefault="00092444" w:rsidP="00092444">
      <w:pPr>
        <w:pStyle w:val="12"/>
      </w:pPr>
      <w:r w:rsidRPr="00797E32">
        <w:lastRenderedPageBreak/>
        <w:t xml:space="preserve">Качество получаемых для обеспечения потребностей производственной деятельности ресурсов определяет качество производимой продукции, что влияет на уровень спроса, а значит, и влияет на потребительские предпочтения, то есть конкурентоспособность продукции в сознании ключевой группы потребителей. </w:t>
      </w:r>
    </w:p>
    <w:p w:rsidR="008E1F51" w:rsidRDefault="008E1F51" w:rsidP="00092444">
      <w:pPr>
        <w:pStyle w:val="12"/>
      </w:pPr>
    </w:p>
    <w:p w:rsidR="00092444" w:rsidRPr="00797E32" w:rsidRDefault="00092444" w:rsidP="00092444">
      <w:pPr>
        <w:pStyle w:val="12"/>
      </w:pPr>
      <w:r w:rsidRPr="00797E32">
        <w:t>Расчет показателя качества ресурсного обеспечения целесообразно рассчитывать на основании следующей формулы</w:t>
      </w:r>
      <w:r w:rsidR="0081557A" w:rsidRPr="00797E32">
        <w:rPr>
          <w:rStyle w:val="a5"/>
        </w:rPr>
        <w:footnoteReference w:id="20"/>
      </w:r>
      <w:r w:rsidRPr="00797E32">
        <w:t>:</w:t>
      </w:r>
    </w:p>
    <w:p w:rsidR="00092444" w:rsidRPr="00797E32" w:rsidRDefault="00092444" w:rsidP="00092444">
      <w:pPr>
        <w:pStyle w:val="11"/>
        <w:rPr>
          <w:szCs w:val="28"/>
        </w:rPr>
      </w:pPr>
      <w:r w:rsidRPr="00797E32">
        <w:rPr>
          <w:szCs w:val="28"/>
        </w:rPr>
        <w:tab/>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RQ</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S</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AP</m:t>
                        </m:r>
                      </m:e>
                      <m:sub>
                        <m:r>
                          <w:rPr>
                            <w:rFonts w:ascii="Cambria Math" w:hAnsi="Cambria Math"/>
                            <w:szCs w:val="28"/>
                          </w:rPr>
                          <m:t>f</m:t>
                        </m:r>
                      </m:sub>
                    </m:sSub>
                  </m:den>
                </m:f>
              </m:oMath>
            </m:oMathPara>
          </w:p>
        </w:tc>
        <w:tc>
          <w:tcPr>
            <w:tcW w:w="1135" w:type="dxa"/>
            <w:vAlign w:val="center"/>
          </w:tcPr>
          <w:p w:rsidR="0081557A" w:rsidRPr="00797E32" w:rsidRDefault="0081557A" w:rsidP="007379F2">
            <w:pPr>
              <w:pStyle w:val="11"/>
              <w:rPr>
                <w:szCs w:val="28"/>
              </w:rPr>
            </w:pPr>
            <w:r w:rsidRPr="00797E32">
              <w:rPr>
                <w:szCs w:val="28"/>
              </w:rPr>
              <w:t>(3.13)</w:t>
            </w:r>
          </w:p>
        </w:tc>
      </w:tr>
    </w:tbl>
    <w:p w:rsidR="00092444" w:rsidRPr="00797E32" w:rsidRDefault="00092444" w:rsidP="00092444">
      <w:pPr>
        <w:pStyle w:val="12"/>
        <w:spacing w:line="276" w:lineRule="auto"/>
        <w:rPr>
          <w:szCs w:val="28"/>
        </w:rPr>
      </w:pPr>
      <w:r w:rsidRPr="00797E32">
        <w:rPr>
          <w:szCs w:val="28"/>
        </w:rPr>
        <w:t>Где:</w:t>
      </w:r>
      <w:r w:rsidRPr="00797E32">
        <w:rPr>
          <w:i/>
          <w:szCs w:val="28"/>
        </w:rPr>
        <w:t xml:space="preserve"> </w:t>
      </w:r>
      <w:r w:rsidRPr="00797E32">
        <w:rPr>
          <w:i/>
          <w:szCs w:val="28"/>
          <w:lang w:val="en-US"/>
        </w:rPr>
        <w:t>RQ</w:t>
      </w:r>
      <w:r w:rsidRPr="00797E32">
        <w:rPr>
          <w:szCs w:val="28"/>
        </w:rPr>
        <w:t xml:space="preserve"> – коэффициент, характеризующий качество закупленных ресурсов для обеспечения потребностей производ</w:t>
      </w:r>
      <w:r w:rsidR="00FD1DFC">
        <w:rPr>
          <w:szCs w:val="28"/>
        </w:rPr>
        <w:t>ственной деятельности промышленного</w:t>
      </w:r>
      <w:r w:rsidRPr="00797E32">
        <w:rPr>
          <w:szCs w:val="28"/>
        </w:rPr>
        <w:t xml:space="preserve"> предприятия;</w:t>
      </w:r>
    </w:p>
    <w:p w:rsidR="00092444" w:rsidRPr="00797E32" w:rsidRDefault="00092444" w:rsidP="00092444">
      <w:pPr>
        <w:pStyle w:val="12"/>
        <w:spacing w:line="276" w:lineRule="auto"/>
        <w:rPr>
          <w:szCs w:val="28"/>
        </w:rPr>
      </w:pPr>
      <w:r w:rsidRPr="00797E32">
        <w:rPr>
          <w:i/>
          <w:szCs w:val="28"/>
          <w:lang w:val="en-US"/>
        </w:rPr>
        <w:t>S</w:t>
      </w:r>
      <w:r w:rsidRPr="00797E32">
        <w:rPr>
          <w:i/>
          <w:szCs w:val="28"/>
          <w:vertAlign w:val="subscript"/>
          <w:lang w:val="en-US"/>
        </w:rPr>
        <w:t>f</w:t>
      </w:r>
      <w:r w:rsidRPr="00797E32">
        <w:rPr>
          <w:szCs w:val="28"/>
        </w:rPr>
        <w:t xml:space="preserve"> – показатель фактического объема снабжения прои</w:t>
      </w:r>
      <w:r w:rsidR="00FD1DFC">
        <w:rPr>
          <w:szCs w:val="28"/>
        </w:rPr>
        <w:t>зводственной деятельности промышленного</w:t>
      </w:r>
      <w:r w:rsidRPr="00797E32">
        <w:rPr>
          <w:szCs w:val="28"/>
        </w:rPr>
        <w:t xml:space="preserve"> предприятия необходимыми (требуемыми) ресурсами;</w:t>
      </w:r>
    </w:p>
    <w:p w:rsidR="00092444" w:rsidRPr="00797E32" w:rsidRDefault="00092444" w:rsidP="00092444">
      <w:pPr>
        <w:pStyle w:val="12"/>
        <w:widowControl w:val="0"/>
        <w:spacing w:line="276" w:lineRule="auto"/>
        <w:rPr>
          <w:szCs w:val="28"/>
        </w:rPr>
      </w:pPr>
      <w:proofErr w:type="spellStart"/>
      <w:r w:rsidRPr="00797E32">
        <w:rPr>
          <w:i/>
          <w:szCs w:val="28"/>
          <w:lang w:val="en-US"/>
        </w:rPr>
        <w:t>AP</w:t>
      </w:r>
      <w:r w:rsidRPr="00797E32">
        <w:rPr>
          <w:i/>
          <w:szCs w:val="28"/>
          <w:vertAlign w:val="subscript"/>
          <w:lang w:val="en-US"/>
        </w:rPr>
        <w:t>f</w:t>
      </w:r>
      <w:proofErr w:type="spellEnd"/>
      <w:r w:rsidRPr="00797E32">
        <w:rPr>
          <w:szCs w:val="28"/>
        </w:rPr>
        <w:t xml:space="preserve"> – фактический объем ресурсов, поступивших в производство после прохождения контроля качества.</w:t>
      </w:r>
    </w:p>
    <w:p w:rsidR="00092444" w:rsidRPr="00797E32" w:rsidRDefault="00092444" w:rsidP="00092444">
      <w:pPr>
        <w:pStyle w:val="12"/>
        <w:widowControl w:val="0"/>
        <w:rPr>
          <w:szCs w:val="28"/>
        </w:rPr>
      </w:pPr>
      <w:r w:rsidRPr="00797E32">
        <w:t>Своевременное обновление (восполнение) основных фондов также важно, как и качество получаемых производственной деятельности материально-технических ресурсов. Замена изношенных или устаревших основных фондов позволяет устранить потери ресурсов, производить продукцию, наилучшим образом отвечающую потребительским предпочтениям. Расчет показателя, характеризующего уровень обновления основных фондов, целесообразно проводить на основании следующей расчетной формулы</w:t>
      </w:r>
      <w:r w:rsidR="0081557A" w:rsidRPr="00797E32">
        <w:rPr>
          <w:rStyle w:val="a5"/>
        </w:rPr>
        <w:footnoteReference w:id="21"/>
      </w:r>
      <w:r w:rsidRPr="00797E32">
        <w:t>:</w:t>
      </w:r>
    </w:p>
    <w:tbl>
      <w:tblPr>
        <w:tblW w:w="9494" w:type="dxa"/>
        <w:tblLook w:val="00A0" w:firstRow="1" w:lastRow="0" w:firstColumn="1" w:lastColumn="0" w:noHBand="0" w:noVBand="0"/>
      </w:tblPr>
      <w:tblGrid>
        <w:gridCol w:w="8359"/>
        <w:gridCol w:w="1135"/>
      </w:tblGrid>
      <w:tr w:rsidR="0081557A" w:rsidRPr="00797E32" w:rsidTr="007379F2">
        <w:tc>
          <w:tcPr>
            <w:tcW w:w="8359" w:type="dxa"/>
            <w:vAlign w:val="center"/>
          </w:tcPr>
          <w:p w:rsidR="0081557A" w:rsidRPr="0081557A" w:rsidRDefault="0081557A" w:rsidP="007379F2">
            <w:pPr>
              <w:pStyle w:val="11"/>
              <w:rPr>
                <w:szCs w:val="28"/>
              </w:rPr>
            </w:pPr>
            <m:oMathPara>
              <m:oMath>
                <m:r>
                  <w:rPr>
                    <w:rFonts w:ascii="Cambria Math" w:eastAsia="Calibri" w:hAnsi="Cambria Math"/>
                    <w:szCs w:val="28"/>
                  </w:rPr>
                  <m:t>FU</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szCs w:val="28"/>
                          </w:rPr>
                        </m:ctrlPr>
                      </m:sSubPr>
                      <m:e>
                        <m:r>
                          <w:rPr>
                            <w:rFonts w:ascii="Cambria Math" w:hAnsi="Cambria Math"/>
                            <w:szCs w:val="28"/>
                          </w:rPr>
                          <m:t>FU</m:t>
                        </m:r>
                      </m:e>
                      <m:sub>
                        <m:r>
                          <w:rPr>
                            <w:rFonts w:ascii="Cambria Math" w:hAnsi="Cambria Math"/>
                            <w:szCs w:val="28"/>
                          </w:rPr>
                          <m:t>f</m:t>
                        </m:r>
                      </m:sub>
                    </m:sSub>
                  </m:num>
                  <m:den>
                    <m:sSub>
                      <m:sSubPr>
                        <m:ctrlPr>
                          <w:rPr>
                            <w:rFonts w:ascii="Cambria Math" w:hAnsi="Cambria Math"/>
                            <w:szCs w:val="28"/>
                          </w:rPr>
                        </m:ctrlPr>
                      </m:sSubPr>
                      <m:e>
                        <m:r>
                          <w:rPr>
                            <w:rFonts w:ascii="Cambria Math" w:hAnsi="Cambria Math"/>
                            <w:szCs w:val="28"/>
                          </w:rPr>
                          <m:t>FU</m:t>
                        </m:r>
                      </m:e>
                      <m:sub>
                        <m:r>
                          <w:rPr>
                            <w:rFonts w:ascii="Cambria Math" w:hAnsi="Cambria Math"/>
                            <w:szCs w:val="28"/>
                          </w:rPr>
                          <m:t>p</m:t>
                        </m:r>
                      </m:sub>
                    </m:sSub>
                  </m:den>
                </m:f>
              </m:oMath>
            </m:oMathPara>
          </w:p>
        </w:tc>
        <w:tc>
          <w:tcPr>
            <w:tcW w:w="1135" w:type="dxa"/>
            <w:vAlign w:val="center"/>
          </w:tcPr>
          <w:p w:rsidR="0081557A" w:rsidRPr="00797E32" w:rsidRDefault="0081557A" w:rsidP="007379F2">
            <w:pPr>
              <w:pStyle w:val="11"/>
              <w:rPr>
                <w:szCs w:val="28"/>
              </w:rPr>
            </w:pPr>
            <w:r w:rsidRPr="00797E32">
              <w:rPr>
                <w:szCs w:val="28"/>
              </w:rPr>
              <w:t>(3.14)</w:t>
            </w:r>
          </w:p>
        </w:tc>
      </w:tr>
    </w:tbl>
    <w:p w:rsidR="00092444" w:rsidRPr="00797E32" w:rsidRDefault="00092444" w:rsidP="00092444">
      <w:pPr>
        <w:pStyle w:val="12"/>
        <w:rPr>
          <w:szCs w:val="28"/>
        </w:rPr>
      </w:pPr>
      <w:r w:rsidRPr="00797E32">
        <w:rPr>
          <w:szCs w:val="28"/>
        </w:rPr>
        <w:t>Где:</w:t>
      </w:r>
      <w:r w:rsidRPr="00797E32">
        <w:rPr>
          <w:i/>
          <w:szCs w:val="28"/>
        </w:rPr>
        <w:t xml:space="preserve"> </w:t>
      </w:r>
      <w:r w:rsidRPr="00797E32">
        <w:rPr>
          <w:i/>
          <w:szCs w:val="28"/>
          <w:lang w:val="en-US"/>
        </w:rPr>
        <w:t>FU</w:t>
      </w:r>
      <w:r w:rsidRPr="00797E32">
        <w:rPr>
          <w:szCs w:val="28"/>
        </w:rPr>
        <w:t xml:space="preserve"> – коэффициент, характеризующий обнов</w:t>
      </w:r>
      <w:r w:rsidR="00FD1DFC">
        <w:rPr>
          <w:szCs w:val="28"/>
        </w:rPr>
        <w:t>ление основных фондов промышленного</w:t>
      </w:r>
      <w:r w:rsidRPr="00797E32">
        <w:rPr>
          <w:szCs w:val="28"/>
        </w:rPr>
        <w:t xml:space="preserve"> предприятия в текущем периоде;</w:t>
      </w:r>
    </w:p>
    <w:p w:rsidR="00092444" w:rsidRPr="00797E32" w:rsidRDefault="00092444" w:rsidP="00092444">
      <w:pPr>
        <w:pStyle w:val="12"/>
        <w:rPr>
          <w:szCs w:val="28"/>
        </w:rPr>
      </w:pPr>
      <w:proofErr w:type="spellStart"/>
      <w:r w:rsidRPr="00797E32">
        <w:rPr>
          <w:i/>
          <w:szCs w:val="28"/>
          <w:lang w:val="en-US"/>
        </w:rPr>
        <w:lastRenderedPageBreak/>
        <w:t>FU</w:t>
      </w:r>
      <w:r w:rsidRPr="00797E32">
        <w:rPr>
          <w:i/>
          <w:szCs w:val="28"/>
          <w:vertAlign w:val="subscript"/>
          <w:lang w:val="en-US"/>
        </w:rPr>
        <w:t>f</w:t>
      </w:r>
      <w:proofErr w:type="spellEnd"/>
      <w:r w:rsidRPr="00797E32">
        <w:rPr>
          <w:szCs w:val="28"/>
        </w:rPr>
        <w:t xml:space="preserve"> – показатель фактических затрат, направленных на обнов</w:t>
      </w:r>
      <w:r w:rsidR="00FD1DFC">
        <w:rPr>
          <w:szCs w:val="28"/>
        </w:rPr>
        <w:t>ление основных фондов промышленного</w:t>
      </w:r>
      <w:r w:rsidRPr="00797E32">
        <w:rPr>
          <w:szCs w:val="28"/>
        </w:rPr>
        <w:t xml:space="preserve"> предприятия;</w:t>
      </w:r>
    </w:p>
    <w:p w:rsidR="00092444" w:rsidRPr="00797E32" w:rsidRDefault="00092444" w:rsidP="00092444">
      <w:pPr>
        <w:pStyle w:val="12"/>
        <w:rPr>
          <w:szCs w:val="28"/>
        </w:rPr>
      </w:pPr>
      <w:proofErr w:type="spellStart"/>
      <w:r w:rsidRPr="00797E32">
        <w:rPr>
          <w:i/>
          <w:szCs w:val="28"/>
          <w:lang w:val="en-US"/>
        </w:rPr>
        <w:t>FU</w:t>
      </w:r>
      <w:r w:rsidRPr="00797E32">
        <w:rPr>
          <w:i/>
          <w:szCs w:val="28"/>
          <w:vertAlign w:val="subscript"/>
          <w:lang w:val="en-US"/>
        </w:rPr>
        <w:t>p</w:t>
      </w:r>
      <w:proofErr w:type="spellEnd"/>
      <w:r w:rsidRPr="00797E32">
        <w:rPr>
          <w:szCs w:val="28"/>
        </w:rPr>
        <w:t xml:space="preserve"> – показатель планового объема затрат, необходимых для обновления основных фондов.</w:t>
      </w:r>
    </w:p>
    <w:p w:rsidR="00092444" w:rsidRPr="00FD1DFC" w:rsidRDefault="00092444" w:rsidP="00092444">
      <w:pPr>
        <w:spacing w:line="360" w:lineRule="auto"/>
        <w:rPr>
          <w:rFonts w:ascii="Times New Roman" w:hAnsi="Times New Roman" w:cs="Times New Roman"/>
          <w:sz w:val="28"/>
          <w:szCs w:val="28"/>
        </w:rPr>
      </w:pPr>
      <w:r w:rsidRPr="00FD1DFC">
        <w:rPr>
          <w:rFonts w:ascii="Times New Roman" w:hAnsi="Times New Roman" w:cs="Times New Roman"/>
          <w:sz w:val="28"/>
          <w:szCs w:val="28"/>
        </w:rPr>
        <w:t>Технологическое обновление целесообразно оценивать через оптимизацию производственного цикла, поскольку в современных условиях используемые технологии производства должны обеспечивать достаточно быстрый выпуск продукции с сохранением должного качества. Расчет данного показателя целесообразно проводить на основании следующей формулы</w:t>
      </w:r>
      <w:r w:rsidR="0081557A" w:rsidRPr="0081557A">
        <w:rPr>
          <w:rStyle w:val="a5"/>
          <w:rFonts w:ascii="Times New Roman" w:hAnsi="Times New Roman" w:cs="Times New Roman"/>
          <w:sz w:val="24"/>
          <w:szCs w:val="24"/>
        </w:rPr>
        <w:footnoteReference w:id="22"/>
      </w:r>
      <w:r w:rsidRPr="00FD1DFC">
        <w:rPr>
          <w:rFonts w:ascii="Times New Roman" w:hAnsi="Times New Roman" w:cs="Times New Roman"/>
          <w:sz w:val="28"/>
          <w:szCs w:val="28"/>
        </w:rPr>
        <w:t>:</w:t>
      </w:r>
    </w:p>
    <w:tbl>
      <w:tblPr>
        <w:tblW w:w="0" w:type="auto"/>
        <w:jc w:val="center"/>
        <w:tblLook w:val="00A0" w:firstRow="1" w:lastRow="0" w:firstColumn="1" w:lastColumn="0" w:noHBand="0" w:noVBand="0"/>
      </w:tblPr>
      <w:tblGrid>
        <w:gridCol w:w="8677"/>
        <w:gridCol w:w="893"/>
      </w:tblGrid>
      <w:tr w:rsidR="0081557A" w:rsidRPr="00797E32" w:rsidTr="007379F2">
        <w:trPr>
          <w:jc w:val="center"/>
        </w:trPr>
        <w:tc>
          <w:tcPr>
            <w:tcW w:w="8677" w:type="dxa"/>
            <w:vAlign w:val="center"/>
          </w:tcPr>
          <w:p w:rsidR="0081557A" w:rsidRPr="0081557A" w:rsidRDefault="0081557A" w:rsidP="007379F2">
            <w:pPr>
              <w:pStyle w:val="11"/>
              <w:spacing w:line="360" w:lineRule="auto"/>
              <w:rPr>
                <w:szCs w:val="28"/>
              </w:rPr>
            </w:pPr>
            <m:oMathPara>
              <m:oMath>
                <m:r>
                  <w:rPr>
                    <w:rFonts w:ascii="Cambria Math" w:eastAsia="Calibri" w:hAnsi="Cambria Math"/>
                    <w:szCs w:val="28"/>
                    <w:lang w:val="en-US"/>
                  </w:rPr>
                  <m:t>TU</m:t>
                </m:r>
                <m:r>
                  <m:rPr>
                    <m:sty m:val="p"/>
                  </m:rPr>
                  <w:rPr>
                    <w:rFonts w:ascii="Cambria Math" w:hAnsi="Cambria Math"/>
                    <w:szCs w:val="28"/>
                  </w:rPr>
                  <m:t>=</m:t>
                </m:r>
                <m:f>
                  <m:fPr>
                    <m:type m:val="skw"/>
                    <m:ctrlPr>
                      <w:rPr>
                        <w:rFonts w:ascii="Cambria Math" w:hAnsi="Cambria Math"/>
                        <w:szCs w:val="28"/>
                      </w:rPr>
                    </m:ctrlPr>
                  </m:fPr>
                  <m:num>
                    <m:sSub>
                      <m:sSubPr>
                        <m:ctrlPr>
                          <w:rPr>
                            <w:rFonts w:ascii="Cambria Math" w:hAnsi="Cambria Math"/>
                            <w:i/>
                            <w:szCs w:val="28"/>
                            <w:lang w:val="en-US"/>
                          </w:rPr>
                        </m:ctrlPr>
                      </m:sSubPr>
                      <m:e>
                        <m:r>
                          <w:rPr>
                            <w:rFonts w:ascii="Cambria Math" w:hAnsi="Cambria Math"/>
                            <w:szCs w:val="28"/>
                            <w:lang w:val="en-US"/>
                          </w:rPr>
                          <m:t>PC</m:t>
                        </m:r>
                      </m:e>
                      <m:sub>
                        <m:r>
                          <w:rPr>
                            <w:rFonts w:ascii="Cambria Math" w:hAnsi="Cambria Math"/>
                            <w:szCs w:val="28"/>
                            <w:lang w:val="en-US"/>
                          </w:rPr>
                          <m:t>i-1</m:t>
                        </m:r>
                      </m:sub>
                    </m:sSub>
                  </m:num>
                  <m:den>
                    <m:sSub>
                      <m:sSubPr>
                        <m:ctrlPr>
                          <w:rPr>
                            <w:rFonts w:ascii="Cambria Math" w:hAnsi="Cambria Math"/>
                            <w:i/>
                            <w:szCs w:val="28"/>
                          </w:rPr>
                        </m:ctrlPr>
                      </m:sSubPr>
                      <m:e>
                        <m:r>
                          <w:rPr>
                            <w:rFonts w:ascii="Cambria Math" w:hAnsi="Cambria Math"/>
                            <w:szCs w:val="28"/>
                          </w:rPr>
                          <m:t>PC</m:t>
                        </m:r>
                      </m:e>
                      <m:sub>
                        <m:r>
                          <w:rPr>
                            <w:rFonts w:ascii="Cambria Math" w:hAnsi="Cambria Math"/>
                            <w:szCs w:val="28"/>
                          </w:rPr>
                          <m:t>i</m:t>
                        </m:r>
                      </m:sub>
                    </m:sSub>
                  </m:den>
                </m:f>
              </m:oMath>
            </m:oMathPara>
          </w:p>
        </w:tc>
        <w:tc>
          <w:tcPr>
            <w:tcW w:w="893" w:type="dxa"/>
            <w:vAlign w:val="center"/>
          </w:tcPr>
          <w:p w:rsidR="0081557A" w:rsidRPr="00797E32" w:rsidRDefault="0081557A" w:rsidP="007379F2">
            <w:pPr>
              <w:pStyle w:val="11"/>
              <w:spacing w:line="360" w:lineRule="auto"/>
              <w:rPr>
                <w:szCs w:val="28"/>
              </w:rPr>
            </w:pPr>
            <w:r w:rsidRPr="00797E32">
              <w:rPr>
                <w:szCs w:val="28"/>
              </w:rPr>
              <w:t>(3.15)</w:t>
            </w:r>
          </w:p>
        </w:tc>
      </w:tr>
    </w:tbl>
    <w:p w:rsidR="00092444" w:rsidRPr="00FD1DFC" w:rsidRDefault="00092444" w:rsidP="00092444">
      <w:pPr>
        <w:spacing w:line="360" w:lineRule="auto"/>
        <w:rPr>
          <w:rFonts w:ascii="Times New Roman" w:hAnsi="Times New Roman" w:cs="Times New Roman"/>
          <w:sz w:val="28"/>
          <w:szCs w:val="28"/>
        </w:rPr>
      </w:pPr>
      <w:r w:rsidRPr="00FD1DFC">
        <w:rPr>
          <w:rFonts w:ascii="Times New Roman" w:hAnsi="Times New Roman" w:cs="Times New Roman"/>
          <w:sz w:val="28"/>
          <w:szCs w:val="28"/>
        </w:rPr>
        <w:t xml:space="preserve">Где: </w:t>
      </w:r>
      <w:r w:rsidRPr="00FD1DFC">
        <w:rPr>
          <w:rFonts w:ascii="Times New Roman" w:hAnsi="Times New Roman" w:cs="Times New Roman"/>
          <w:i/>
          <w:sz w:val="28"/>
          <w:szCs w:val="28"/>
          <w:lang w:val="en-US"/>
        </w:rPr>
        <w:t>TU</w:t>
      </w:r>
      <w:r w:rsidRPr="00FD1DFC">
        <w:rPr>
          <w:rFonts w:ascii="Times New Roman" w:hAnsi="Times New Roman" w:cs="Times New Roman"/>
          <w:sz w:val="28"/>
          <w:szCs w:val="28"/>
        </w:rPr>
        <w:t xml:space="preserve"> – коэффициент, характеризующий техно</w:t>
      </w:r>
      <w:r w:rsidR="00FD1DFC">
        <w:rPr>
          <w:rFonts w:ascii="Times New Roman" w:hAnsi="Times New Roman" w:cs="Times New Roman"/>
          <w:sz w:val="28"/>
          <w:szCs w:val="28"/>
        </w:rPr>
        <w:t>логическое обновление промышленного</w:t>
      </w:r>
      <w:r w:rsidRPr="00FD1DFC">
        <w:rPr>
          <w:rFonts w:ascii="Times New Roman" w:hAnsi="Times New Roman" w:cs="Times New Roman"/>
          <w:sz w:val="28"/>
          <w:szCs w:val="28"/>
        </w:rPr>
        <w:t xml:space="preserve"> производства;</w:t>
      </w:r>
    </w:p>
    <w:p w:rsidR="00092444" w:rsidRPr="00FD1DFC" w:rsidRDefault="00092444" w:rsidP="00092444">
      <w:pPr>
        <w:spacing w:line="360" w:lineRule="auto"/>
        <w:rPr>
          <w:rFonts w:ascii="Times New Roman" w:hAnsi="Times New Roman" w:cs="Times New Roman"/>
          <w:sz w:val="28"/>
          <w:szCs w:val="28"/>
        </w:rPr>
      </w:pPr>
      <w:proofErr w:type="spellStart"/>
      <w:r w:rsidRPr="00FD1DFC">
        <w:rPr>
          <w:rFonts w:ascii="Times New Roman" w:hAnsi="Times New Roman" w:cs="Times New Roman"/>
          <w:i/>
          <w:sz w:val="28"/>
          <w:szCs w:val="28"/>
          <w:lang w:val="en-US"/>
        </w:rPr>
        <w:t>PC</w:t>
      </w:r>
      <w:r w:rsidRPr="00FD1DFC">
        <w:rPr>
          <w:rFonts w:ascii="Times New Roman" w:hAnsi="Times New Roman" w:cs="Times New Roman"/>
          <w:i/>
          <w:sz w:val="28"/>
          <w:szCs w:val="28"/>
          <w:vertAlign w:val="subscript"/>
          <w:lang w:val="en-US"/>
        </w:rPr>
        <w:t>i</w:t>
      </w:r>
      <w:proofErr w:type="spellEnd"/>
      <w:r w:rsidRPr="00FD1DFC">
        <w:rPr>
          <w:rFonts w:ascii="Times New Roman" w:hAnsi="Times New Roman" w:cs="Times New Roman"/>
          <w:sz w:val="28"/>
          <w:szCs w:val="28"/>
        </w:rPr>
        <w:t xml:space="preserve"> – продолжительность (длительность) производственного цикла текущего периода, обусловленная использованием усовершенствованных или новых технологий;</w:t>
      </w:r>
    </w:p>
    <w:p w:rsidR="00092444" w:rsidRPr="00FD1DFC" w:rsidRDefault="00092444" w:rsidP="00092444">
      <w:pPr>
        <w:spacing w:line="360" w:lineRule="auto"/>
        <w:rPr>
          <w:rFonts w:ascii="Times New Roman" w:hAnsi="Times New Roman" w:cs="Times New Roman"/>
          <w:sz w:val="28"/>
          <w:szCs w:val="28"/>
        </w:rPr>
      </w:pPr>
      <w:proofErr w:type="spellStart"/>
      <w:r w:rsidRPr="00FD1DFC">
        <w:rPr>
          <w:rFonts w:ascii="Times New Roman" w:hAnsi="Times New Roman" w:cs="Times New Roman"/>
          <w:i/>
          <w:sz w:val="28"/>
          <w:szCs w:val="28"/>
          <w:lang w:val="en-US"/>
        </w:rPr>
        <w:t>PC</w:t>
      </w:r>
      <w:r w:rsidRPr="00FD1DFC">
        <w:rPr>
          <w:rFonts w:ascii="Times New Roman" w:hAnsi="Times New Roman" w:cs="Times New Roman"/>
          <w:i/>
          <w:sz w:val="28"/>
          <w:szCs w:val="28"/>
          <w:vertAlign w:val="subscript"/>
          <w:lang w:val="en-US"/>
        </w:rPr>
        <w:t>i</w:t>
      </w:r>
      <w:proofErr w:type="spellEnd"/>
      <w:r w:rsidRPr="00FD1DFC">
        <w:rPr>
          <w:rFonts w:ascii="Times New Roman" w:hAnsi="Times New Roman" w:cs="Times New Roman"/>
          <w:i/>
          <w:sz w:val="28"/>
          <w:szCs w:val="28"/>
          <w:vertAlign w:val="subscript"/>
        </w:rPr>
        <w:t>-1</w:t>
      </w:r>
      <w:r w:rsidRPr="00FD1DFC">
        <w:rPr>
          <w:rFonts w:ascii="Times New Roman" w:hAnsi="Times New Roman" w:cs="Times New Roman"/>
          <w:sz w:val="28"/>
          <w:szCs w:val="28"/>
        </w:rPr>
        <w:t xml:space="preserve"> – продолжительность (длительность) производственного цикла предыдущего периода.</w:t>
      </w:r>
    </w:p>
    <w:p w:rsidR="009B51B2" w:rsidRPr="00061CB2" w:rsidRDefault="009B51B2" w:rsidP="009B51B2">
      <w:pPr>
        <w:spacing w:line="360" w:lineRule="auto"/>
        <w:ind w:firstLine="709"/>
        <w:jc w:val="center"/>
        <w:rPr>
          <w:rFonts w:ascii="Times New Roman" w:hAnsi="Times New Roman" w:cs="Times New Roman"/>
          <w:b/>
          <w:i/>
          <w:sz w:val="28"/>
          <w:szCs w:val="28"/>
        </w:rPr>
      </w:pPr>
      <w:r w:rsidRPr="00061CB2">
        <w:rPr>
          <w:rFonts w:ascii="Times New Roman" w:hAnsi="Times New Roman" w:cs="Times New Roman"/>
          <w:b/>
          <w:i/>
          <w:sz w:val="28"/>
          <w:szCs w:val="28"/>
        </w:rPr>
        <w:t>Расчет многокритериального интегрального показателя</w:t>
      </w:r>
    </w:p>
    <w:p w:rsidR="00092444" w:rsidRPr="00FD1DFC" w:rsidRDefault="00092444" w:rsidP="00092444">
      <w:pPr>
        <w:spacing w:line="360" w:lineRule="auto"/>
        <w:ind w:firstLine="709"/>
        <w:jc w:val="both"/>
        <w:rPr>
          <w:rFonts w:ascii="Times New Roman" w:hAnsi="Times New Roman" w:cs="Times New Roman"/>
          <w:sz w:val="28"/>
          <w:szCs w:val="28"/>
        </w:rPr>
      </w:pPr>
      <w:r w:rsidRPr="00FD1DFC">
        <w:rPr>
          <w:rFonts w:ascii="Times New Roman" w:hAnsi="Times New Roman" w:cs="Times New Roman"/>
          <w:sz w:val="28"/>
          <w:szCs w:val="28"/>
        </w:rPr>
        <w:t xml:space="preserve">Итак, выше нами представлены 15 основных показателей, агрегированных в пять основных групп, характеризующих </w:t>
      </w:r>
      <w:r w:rsidR="009B51B2">
        <w:rPr>
          <w:rFonts w:ascii="Times New Roman" w:hAnsi="Times New Roman" w:cs="Times New Roman"/>
          <w:sz w:val="28"/>
          <w:szCs w:val="28"/>
        </w:rPr>
        <w:t xml:space="preserve">конкурентоспособность </w:t>
      </w:r>
      <w:r w:rsidRPr="00FD1DFC">
        <w:rPr>
          <w:rFonts w:ascii="Times New Roman" w:hAnsi="Times New Roman" w:cs="Times New Roman"/>
          <w:sz w:val="28"/>
          <w:szCs w:val="28"/>
        </w:rPr>
        <w:t>промышленных предприятий. Итоговую оценку конкурентосп</w:t>
      </w:r>
      <w:r w:rsidR="009B51B2">
        <w:rPr>
          <w:rFonts w:ascii="Times New Roman" w:hAnsi="Times New Roman" w:cs="Times New Roman"/>
          <w:sz w:val="28"/>
          <w:szCs w:val="28"/>
        </w:rPr>
        <w:t>особности конкретного промышленного</w:t>
      </w:r>
      <w:r w:rsidRPr="00FD1DFC">
        <w:rPr>
          <w:rFonts w:ascii="Times New Roman" w:hAnsi="Times New Roman" w:cs="Times New Roman"/>
          <w:sz w:val="28"/>
          <w:szCs w:val="28"/>
        </w:rPr>
        <w:t xml:space="preserve"> предприятия дает интегральный показатель. Расчет проходит в два этапа. На первом этапе из рассчитанных по каждому предприятию, включенному в аналитическую выборку, единичных показателей отбираются "лучшие из имеющихся", - формируется состав параметров "эталонного предприятия". Интегральный показатель (</w:t>
      </w:r>
      <w:proofErr w:type="spellStart"/>
      <w:r w:rsidRPr="00FD1DFC">
        <w:rPr>
          <w:rFonts w:ascii="Times New Roman" w:hAnsi="Times New Roman" w:cs="Times New Roman"/>
          <w:sz w:val="28"/>
          <w:szCs w:val="28"/>
          <w:lang w:val="en-US"/>
        </w:rPr>
        <w:t>IC</w:t>
      </w:r>
      <w:r w:rsidRPr="00FD1DFC">
        <w:rPr>
          <w:rFonts w:ascii="Times New Roman" w:hAnsi="Times New Roman" w:cs="Times New Roman"/>
          <w:sz w:val="28"/>
          <w:szCs w:val="28"/>
          <w:vertAlign w:val="subscript"/>
          <w:lang w:val="en-US"/>
        </w:rPr>
        <w:t>v</w:t>
      </w:r>
      <w:proofErr w:type="spellEnd"/>
      <w:r w:rsidRPr="00FD1DFC">
        <w:rPr>
          <w:rFonts w:ascii="Times New Roman" w:hAnsi="Times New Roman" w:cs="Times New Roman"/>
          <w:sz w:val="28"/>
          <w:szCs w:val="28"/>
        </w:rPr>
        <w:t>) конкурентоспособности рассчитывается по формуле</w:t>
      </w:r>
      <w:r w:rsidR="0081557A" w:rsidRPr="0081557A">
        <w:rPr>
          <w:rStyle w:val="a5"/>
          <w:rFonts w:ascii="Times New Roman" w:hAnsi="Times New Roman" w:cs="Times New Roman"/>
          <w:sz w:val="24"/>
          <w:szCs w:val="24"/>
        </w:rPr>
        <w:footnoteReference w:id="23"/>
      </w:r>
      <w:r w:rsidRPr="00FD1DFC">
        <w:rPr>
          <w:rFonts w:ascii="Times New Roman" w:hAnsi="Times New Roman" w:cs="Times New Roman"/>
          <w:sz w:val="28"/>
          <w:szCs w:val="28"/>
        </w:rPr>
        <w:t>:</w:t>
      </w:r>
    </w:p>
    <w:tbl>
      <w:tblPr>
        <w:tblW w:w="0" w:type="auto"/>
        <w:jc w:val="center"/>
        <w:tblLook w:val="00A0" w:firstRow="1" w:lastRow="0" w:firstColumn="1" w:lastColumn="0" w:noHBand="0" w:noVBand="0"/>
      </w:tblPr>
      <w:tblGrid>
        <w:gridCol w:w="8506"/>
        <w:gridCol w:w="893"/>
      </w:tblGrid>
      <w:tr w:rsidR="0081557A" w:rsidRPr="00797E32" w:rsidTr="007379F2">
        <w:trPr>
          <w:jc w:val="center"/>
        </w:trPr>
        <w:tc>
          <w:tcPr>
            <w:tcW w:w="8506" w:type="dxa"/>
            <w:vAlign w:val="center"/>
          </w:tcPr>
          <w:p w:rsidR="0081557A" w:rsidRPr="0081557A" w:rsidRDefault="00BF4124" w:rsidP="007379F2">
            <w:pPr>
              <w:pStyle w:val="11"/>
              <w:spacing w:line="360" w:lineRule="auto"/>
              <w:rPr>
                <w:szCs w:val="28"/>
              </w:rPr>
            </w:pPr>
            <m:oMathPara>
              <m:oMath>
                <m:sSub>
                  <m:sSubPr>
                    <m:ctrlPr>
                      <w:rPr>
                        <w:rFonts w:ascii="Cambria Math" w:eastAsia="Calibri" w:hAnsi="Cambria Math"/>
                        <w:szCs w:val="28"/>
                      </w:rPr>
                    </m:ctrlPr>
                  </m:sSubPr>
                  <m:e>
                    <m:r>
                      <w:rPr>
                        <w:rFonts w:ascii="Cambria Math" w:hAnsi="Cambria Math"/>
                        <w:szCs w:val="28"/>
                      </w:rPr>
                      <m:t>IC</m:t>
                    </m:r>
                    <m:ctrlPr>
                      <w:rPr>
                        <w:rFonts w:ascii="Cambria Math" w:hAnsi="Cambria Math"/>
                        <w:szCs w:val="28"/>
                      </w:rPr>
                    </m:ctrlPr>
                  </m:e>
                  <m:sub>
                    <m:r>
                      <w:rPr>
                        <w:rFonts w:ascii="Cambria Math" w:hAnsi="Cambria Math"/>
                        <w:szCs w:val="28"/>
                      </w:rPr>
                      <m:t>v</m:t>
                    </m:r>
                    <m:ctrlPr>
                      <w:rPr>
                        <w:rFonts w:ascii="Cambria Math" w:hAnsi="Cambria Math"/>
                        <w:szCs w:val="28"/>
                      </w:rPr>
                    </m:ctrlPr>
                  </m:sub>
                </m:sSub>
                <m:r>
                  <m:rPr>
                    <m:sty m:val="p"/>
                  </m:rPr>
                  <w:rPr>
                    <w:rFonts w:ascii="Cambria Math" w:hAnsi="Cambria Math"/>
                    <w:szCs w:val="28"/>
                  </w:rPr>
                  <m:t>=</m:t>
                </m:r>
                <m:rad>
                  <m:radPr>
                    <m:degHide m:val="1"/>
                    <m:ctrlPr>
                      <w:rPr>
                        <w:rFonts w:ascii="Cambria Math" w:hAnsi="Cambria Math"/>
                        <w:szCs w:val="28"/>
                      </w:rPr>
                    </m:ctrlPr>
                  </m:radPr>
                  <m:deg/>
                  <m:e>
                    <m:nary>
                      <m:naryPr>
                        <m:chr m:val="∑"/>
                        <m:limLoc m:val="undOvr"/>
                        <m:ctrlPr>
                          <w:rPr>
                            <w:rFonts w:ascii="Cambria Math" w:hAnsi="Cambria Math"/>
                            <w:szCs w:val="28"/>
                          </w:rPr>
                        </m:ctrlPr>
                      </m:naryPr>
                      <m:sub>
                        <m:r>
                          <w:rPr>
                            <w:rFonts w:ascii="Cambria Math" w:hAnsi="Cambria Math"/>
                            <w:szCs w:val="28"/>
                          </w:rPr>
                          <m:t>i</m:t>
                        </m:r>
                        <m:r>
                          <m:rPr>
                            <m:sty m:val="p"/>
                          </m:rPr>
                          <w:rPr>
                            <w:rFonts w:ascii="Cambria Math" w:hAnsi="Cambria Math"/>
                            <w:szCs w:val="28"/>
                          </w:rPr>
                          <m:t>=1</m:t>
                        </m:r>
                      </m:sub>
                      <m:sup>
                        <m:r>
                          <w:rPr>
                            <w:rFonts w:ascii="Cambria Math" w:hAnsi="Cambria Math"/>
                            <w:szCs w:val="28"/>
                          </w:rPr>
                          <m:t>n</m:t>
                        </m:r>
                      </m:sup>
                      <m:e>
                        <m:sSup>
                          <m:sSupPr>
                            <m:ctrlPr>
                              <w:rPr>
                                <w:rFonts w:ascii="Cambria Math" w:hAnsi="Cambria Math"/>
                                <w:szCs w:val="28"/>
                              </w:rPr>
                            </m:ctrlPr>
                          </m:sSupPr>
                          <m:e>
                            <m:r>
                              <m:rPr>
                                <m:sty m:val="p"/>
                              </m:rPr>
                              <w:rPr>
                                <w:rFonts w:ascii="Cambria Math" w:hAnsi="Cambria Math"/>
                                <w:szCs w:val="28"/>
                              </w:rPr>
                              <m:t xml:space="preserve">(1- </m:t>
                            </m:r>
                            <m:sSub>
                              <m:sSubPr>
                                <m:ctrlPr>
                                  <w:rPr>
                                    <w:rFonts w:ascii="Cambria Math" w:hAnsi="Cambria Math"/>
                                    <w:szCs w:val="28"/>
                                  </w:rPr>
                                </m:ctrlPr>
                              </m:sSubPr>
                              <m:e>
                                <m:r>
                                  <w:rPr>
                                    <w:rFonts w:ascii="Cambria Math" w:hAnsi="Cambria Math"/>
                                    <w:szCs w:val="28"/>
                                  </w:rPr>
                                  <m:t>k</m:t>
                                </m:r>
                              </m:e>
                              <m:sub>
                                <m:r>
                                  <w:rPr>
                                    <w:rFonts w:ascii="Cambria Math" w:hAnsi="Cambria Math"/>
                                    <w:szCs w:val="28"/>
                                  </w:rPr>
                                  <m:t>ij</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k</m:t>
                                </m:r>
                              </m:e>
                              <m:sub>
                                <m:r>
                                  <w:rPr>
                                    <w:rFonts w:ascii="Cambria Math" w:hAnsi="Cambria Math"/>
                                    <w:szCs w:val="28"/>
                                  </w:rPr>
                                  <m:t>i</m:t>
                                </m:r>
                                <m:r>
                                  <m:rPr>
                                    <m:sty m:val="p"/>
                                  </m:rPr>
                                  <w:rPr>
                                    <w:rFonts w:ascii="Cambria Math" w:hAnsi="Cambria Math"/>
                                    <w:szCs w:val="28"/>
                                  </w:rPr>
                                  <m:t>эталон</m:t>
                                </m:r>
                              </m:sub>
                            </m:sSub>
                            <m:r>
                              <m:rPr>
                                <m:sty m:val="p"/>
                              </m:rPr>
                              <w:rPr>
                                <w:rFonts w:ascii="Cambria Math" w:hAnsi="Cambria Math"/>
                                <w:szCs w:val="28"/>
                              </w:rPr>
                              <m:t>)</m:t>
                            </m:r>
                          </m:e>
                          <m:sup>
                            <m:r>
                              <m:rPr>
                                <m:sty m:val="p"/>
                              </m:rPr>
                              <w:rPr>
                                <w:rFonts w:ascii="Cambria Math" w:hAnsi="Cambria Math"/>
                                <w:szCs w:val="28"/>
                              </w:rPr>
                              <m:t>2</m:t>
                            </m:r>
                          </m:sup>
                        </m:sSup>
                      </m:e>
                    </m:nary>
                  </m:e>
                </m:rad>
              </m:oMath>
            </m:oMathPara>
          </w:p>
        </w:tc>
        <w:tc>
          <w:tcPr>
            <w:tcW w:w="849" w:type="dxa"/>
            <w:vAlign w:val="center"/>
          </w:tcPr>
          <w:p w:rsidR="0081557A" w:rsidRPr="00797E32" w:rsidRDefault="0081557A" w:rsidP="007379F2">
            <w:pPr>
              <w:pStyle w:val="11"/>
              <w:spacing w:line="360" w:lineRule="auto"/>
              <w:rPr>
                <w:szCs w:val="28"/>
              </w:rPr>
            </w:pPr>
            <w:r w:rsidRPr="00797E32">
              <w:rPr>
                <w:szCs w:val="28"/>
              </w:rPr>
              <w:t>(3.16)</w:t>
            </w:r>
          </w:p>
        </w:tc>
      </w:tr>
    </w:tbl>
    <w:p w:rsidR="00092444" w:rsidRPr="00FD1DFC" w:rsidRDefault="00092444" w:rsidP="00092444">
      <w:pPr>
        <w:spacing w:line="360" w:lineRule="auto"/>
        <w:rPr>
          <w:rFonts w:ascii="Times New Roman" w:hAnsi="Times New Roman" w:cs="Times New Roman"/>
          <w:sz w:val="28"/>
          <w:szCs w:val="28"/>
        </w:rPr>
      </w:pPr>
      <w:r w:rsidRPr="00FD1DFC">
        <w:rPr>
          <w:rFonts w:ascii="Times New Roman" w:hAnsi="Times New Roman" w:cs="Times New Roman"/>
          <w:sz w:val="28"/>
          <w:szCs w:val="28"/>
        </w:rPr>
        <w:t xml:space="preserve">Где: </w:t>
      </w:r>
      <w:r w:rsidRPr="00FD1DFC">
        <w:rPr>
          <w:rFonts w:ascii="Times New Roman" w:hAnsi="Times New Roman" w:cs="Times New Roman"/>
          <w:i/>
          <w:sz w:val="28"/>
          <w:szCs w:val="28"/>
          <w:lang w:val="en-US"/>
        </w:rPr>
        <w:t>n</w:t>
      </w:r>
      <w:r w:rsidRPr="00FD1DFC">
        <w:rPr>
          <w:rFonts w:ascii="Times New Roman" w:hAnsi="Times New Roman" w:cs="Times New Roman"/>
          <w:sz w:val="28"/>
          <w:szCs w:val="28"/>
        </w:rPr>
        <w:t xml:space="preserve"> – количество участвующих в оценке конкурентоспособности критериев (коэффициентов),</w:t>
      </w:r>
    </w:p>
    <w:p w:rsidR="00092444" w:rsidRPr="00FD1DFC" w:rsidRDefault="00092444" w:rsidP="00092444">
      <w:pPr>
        <w:spacing w:line="360" w:lineRule="auto"/>
        <w:rPr>
          <w:rFonts w:ascii="Times New Roman" w:hAnsi="Times New Roman" w:cs="Times New Roman"/>
          <w:sz w:val="28"/>
          <w:szCs w:val="28"/>
        </w:rPr>
      </w:pPr>
      <w:proofErr w:type="spellStart"/>
      <w:r w:rsidRPr="00FD1DFC">
        <w:rPr>
          <w:rFonts w:ascii="Times New Roman" w:hAnsi="Times New Roman" w:cs="Times New Roman"/>
          <w:i/>
          <w:sz w:val="28"/>
          <w:szCs w:val="28"/>
          <w:lang w:val="en-US"/>
        </w:rPr>
        <w:t>k</w:t>
      </w:r>
      <w:r w:rsidRPr="00FD1DFC">
        <w:rPr>
          <w:rFonts w:ascii="Times New Roman" w:hAnsi="Times New Roman" w:cs="Times New Roman"/>
          <w:i/>
          <w:sz w:val="28"/>
          <w:szCs w:val="28"/>
          <w:vertAlign w:val="subscript"/>
          <w:lang w:val="en-US"/>
        </w:rPr>
        <w:t>ij</w:t>
      </w:r>
      <w:proofErr w:type="spellEnd"/>
      <w:r w:rsidRPr="00FD1DFC">
        <w:rPr>
          <w:rFonts w:ascii="Times New Roman" w:hAnsi="Times New Roman" w:cs="Times New Roman"/>
          <w:sz w:val="28"/>
          <w:szCs w:val="28"/>
          <w:vertAlign w:val="subscript"/>
        </w:rPr>
        <w:t xml:space="preserve"> –</w:t>
      </w:r>
      <w:r w:rsidRPr="00FD1DFC">
        <w:rPr>
          <w:rFonts w:ascii="Times New Roman" w:hAnsi="Times New Roman" w:cs="Times New Roman"/>
          <w:sz w:val="28"/>
          <w:szCs w:val="28"/>
        </w:rPr>
        <w:t xml:space="preserve"> значение </w:t>
      </w:r>
      <w:r w:rsidRPr="00FD1DFC">
        <w:rPr>
          <w:rFonts w:ascii="Times New Roman" w:hAnsi="Times New Roman" w:cs="Times New Roman"/>
          <w:sz w:val="28"/>
          <w:szCs w:val="28"/>
          <w:lang w:val="en-US"/>
        </w:rPr>
        <w:t>i</w:t>
      </w:r>
      <w:r w:rsidRPr="00FD1DFC">
        <w:rPr>
          <w:rFonts w:ascii="Times New Roman" w:hAnsi="Times New Roman" w:cs="Times New Roman"/>
          <w:sz w:val="28"/>
          <w:szCs w:val="28"/>
        </w:rPr>
        <w:t xml:space="preserve">-го критерия (коэффициента) у </w:t>
      </w:r>
      <w:r w:rsidRPr="00FD1DFC">
        <w:rPr>
          <w:rFonts w:ascii="Times New Roman" w:hAnsi="Times New Roman" w:cs="Times New Roman"/>
          <w:sz w:val="28"/>
          <w:szCs w:val="28"/>
          <w:lang w:val="en-US"/>
        </w:rPr>
        <w:t>j</w:t>
      </w:r>
      <w:r w:rsidRPr="00FD1DFC">
        <w:rPr>
          <w:rFonts w:ascii="Times New Roman" w:hAnsi="Times New Roman" w:cs="Times New Roman"/>
          <w:sz w:val="28"/>
          <w:szCs w:val="28"/>
        </w:rPr>
        <w:t>-ой сравниваемого предприятия,</w:t>
      </w:r>
    </w:p>
    <w:p w:rsidR="00092444" w:rsidRPr="00FD1DFC" w:rsidRDefault="00092444" w:rsidP="00092444">
      <w:pPr>
        <w:spacing w:line="360" w:lineRule="auto"/>
        <w:rPr>
          <w:rFonts w:ascii="Times New Roman" w:hAnsi="Times New Roman" w:cs="Times New Roman"/>
          <w:sz w:val="28"/>
          <w:szCs w:val="28"/>
        </w:rPr>
      </w:pPr>
      <w:r w:rsidRPr="00FD1DFC">
        <w:rPr>
          <w:rFonts w:ascii="Times New Roman" w:hAnsi="Times New Roman" w:cs="Times New Roman"/>
          <w:i/>
          <w:sz w:val="28"/>
          <w:szCs w:val="28"/>
        </w:rPr>
        <w:t xml:space="preserve"> </w:t>
      </w:r>
      <w:proofErr w:type="spellStart"/>
      <w:r w:rsidRPr="00FD1DFC">
        <w:rPr>
          <w:rFonts w:ascii="Times New Roman" w:hAnsi="Times New Roman" w:cs="Times New Roman"/>
          <w:i/>
          <w:sz w:val="28"/>
          <w:szCs w:val="28"/>
          <w:lang w:val="en-US"/>
        </w:rPr>
        <w:t>k</w:t>
      </w:r>
      <w:r w:rsidRPr="00FD1DFC">
        <w:rPr>
          <w:rFonts w:ascii="Times New Roman" w:hAnsi="Times New Roman" w:cs="Times New Roman"/>
          <w:i/>
          <w:sz w:val="28"/>
          <w:szCs w:val="28"/>
          <w:vertAlign w:val="subscript"/>
          <w:lang w:val="en-US"/>
        </w:rPr>
        <w:t>i</w:t>
      </w:r>
      <w:proofErr w:type="spellEnd"/>
      <w:r w:rsidRPr="00FD1DFC">
        <w:rPr>
          <w:rFonts w:ascii="Times New Roman" w:hAnsi="Times New Roman" w:cs="Times New Roman"/>
          <w:sz w:val="28"/>
          <w:szCs w:val="28"/>
          <w:vertAlign w:val="subscript"/>
        </w:rPr>
        <w:t xml:space="preserve"> эталон</w:t>
      </w:r>
      <w:r w:rsidRPr="00FD1DFC">
        <w:rPr>
          <w:rFonts w:ascii="Times New Roman" w:hAnsi="Times New Roman" w:cs="Times New Roman"/>
          <w:sz w:val="28"/>
          <w:szCs w:val="28"/>
        </w:rPr>
        <w:t xml:space="preserve"> – эталонное значение </w:t>
      </w:r>
      <w:r w:rsidRPr="00FD1DFC">
        <w:rPr>
          <w:rFonts w:ascii="Times New Roman" w:hAnsi="Times New Roman" w:cs="Times New Roman"/>
          <w:sz w:val="28"/>
          <w:szCs w:val="28"/>
          <w:lang w:val="en-US"/>
        </w:rPr>
        <w:t>i</w:t>
      </w:r>
      <w:r w:rsidRPr="00FD1DFC">
        <w:rPr>
          <w:rFonts w:ascii="Times New Roman" w:hAnsi="Times New Roman" w:cs="Times New Roman"/>
          <w:sz w:val="28"/>
          <w:szCs w:val="28"/>
        </w:rPr>
        <w:t>-го критерия (коэффициента) – лучшее  значение данного показателя среди сравниваемых предприятий.</w:t>
      </w:r>
    </w:p>
    <w:p w:rsidR="00092444" w:rsidRPr="00FD1DFC" w:rsidRDefault="00092444" w:rsidP="00092444">
      <w:pPr>
        <w:spacing w:line="360" w:lineRule="auto"/>
        <w:rPr>
          <w:rFonts w:ascii="Times New Roman" w:hAnsi="Times New Roman" w:cs="Times New Roman"/>
          <w:sz w:val="28"/>
          <w:szCs w:val="28"/>
        </w:rPr>
      </w:pPr>
      <w:r w:rsidRPr="00FD1DFC">
        <w:rPr>
          <w:rFonts w:ascii="Times New Roman" w:hAnsi="Times New Roman" w:cs="Times New Roman"/>
          <w:sz w:val="28"/>
          <w:szCs w:val="28"/>
        </w:rPr>
        <w:t>На втором этапе групповые значения конкурентоспособности в аспекте каждой подсистемы суммируются и получается итоговое значение.</w:t>
      </w:r>
    </w:p>
    <w:p w:rsidR="00092444" w:rsidRPr="00FD1DFC" w:rsidRDefault="00092444" w:rsidP="00092444">
      <w:pPr>
        <w:spacing w:line="360" w:lineRule="auto"/>
        <w:ind w:firstLine="709"/>
        <w:rPr>
          <w:rFonts w:ascii="Times New Roman" w:hAnsi="Times New Roman" w:cs="Times New Roman"/>
          <w:sz w:val="28"/>
          <w:szCs w:val="28"/>
        </w:rPr>
      </w:pPr>
      <w:r w:rsidRPr="00FD1DFC">
        <w:rPr>
          <w:rFonts w:ascii="Times New Roman" w:hAnsi="Times New Roman" w:cs="Times New Roman"/>
          <w:sz w:val="28"/>
          <w:szCs w:val="28"/>
        </w:rPr>
        <w:t>Стоит отметить, что в данном случае расчет идет от противного. Поэтому, чем меньше отклонение от эталонного значения (чем меньше значение интегрального показателя конкурентос</w:t>
      </w:r>
      <w:r w:rsidR="009B51B2">
        <w:rPr>
          <w:rFonts w:ascii="Times New Roman" w:hAnsi="Times New Roman" w:cs="Times New Roman"/>
          <w:sz w:val="28"/>
          <w:szCs w:val="28"/>
        </w:rPr>
        <w:t>пособности), тем ближе промышленное</w:t>
      </w:r>
      <w:r w:rsidRPr="00FD1DFC">
        <w:rPr>
          <w:rFonts w:ascii="Times New Roman" w:hAnsi="Times New Roman" w:cs="Times New Roman"/>
          <w:sz w:val="28"/>
          <w:szCs w:val="28"/>
        </w:rPr>
        <w:t xml:space="preserve"> предприятие по своим критериям к "эталонному", соответственно</w:t>
      </w:r>
      <w:r w:rsidR="009B51B2">
        <w:rPr>
          <w:rFonts w:ascii="Times New Roman" w:hAnsi="Times New Roman" w:cs="Times New Roman"/>
          <w:sz w:val="28"/>
          <w:szCs w:val="28"/>
        </w:rPr>
        <w:t>,</w:t>
      </w:r>
      <w:r w:rsidRPr="00FD1DFC">
        <w:rPr>
          <w:rFonts w:ascii="Times New Roman" w:hAnsi="Times New Roman" w:cs="Times New Roman"/>
          <w:sz w:val="28"/>
          <w:szCs w:val="28"/>
        </w:rPr>
        <w:t xml:space="preserve"> тем выше его конкурентоспособность. </w:t>
      </w:r>
    </w:p>
    <w:p w:rsidR="009B51B2" w:rsidRPr="009B51B2" w:rsidRDefault="009B51B2" w:rsidP="009B51B2">
      <w:pPr>
        <w:pStyle w:val="12"/>
        <w:jc w:val="center"/>
        <w:rPr>
          <w:b/>
        </w:rPr>
      </w:pPr>
      <w:r w:rsidRPr="009B51B2">
        <w:rPr>
          <w:b/>
        </w:rPr>
        <w:t>Выводы</w:t>
      </w:r>
    </w:p>
    <w:p w:rsidR="00092444" w:rsidRPr="00797E32" w:rsidRDefault="00092444" w:rsidP="00092444">
      <w:pPr>
        <w:pStyle w:val="12"/>
      </w:pPr>
      <w:r>
        <w:t xml:space="preserve">Таким образом, выше </w:t>
      </w:r>
      <w:r w:rsidRPr="00797E32">
        <w:t xml:space="preserve">была представлена модифицированная методика оценки </w:t>
      </w:r>
      <w:r w:rsidR="009B51B2">
        <w:t xml:space="preserve">конкурентоспособности </w:t>
      </w:r>
      <w:r w:rsidRPr="00797E32">
        <w:t xml:space="preserve">промышленных предприятий, которая </w:t>
      </w:r>
      <w:bookmarkStart w:id="4" w:name="_Hlk415248760"/>
      <w:r w:rsidRPr="00797E32">
        <w:t xml:space="preserve">предполагает исследование компонент, формирующих конкурентные преимущества предприятия и расчет интегрального показателя. Данная методика учитывает специфику промышленного производства (в этом состоит универсальность её применения) и одновременно характеризует конкурентный потенциал предприятия. Использование в качестве основы расчета многокритериальной модели позволяет своевременно выявлять функциональные проблемы в подсистемах управления и принимать решения, </w:t>
      </w:r>
      <w:r w:rsidRPr="00797E32">
        <w:lastRenderedPageBreak/>
        <w:t>направленные на повышение конкурентоспособности предприятия до необходимого уровня.</w:t>
      </w:r>
    </w:p>
    <w:p w:rsidR="00092444" w:rsidRDefault="00092444" w:rsidP="00092444">
      <w:pPr>
        <w:pStyle w:val="12"/>
      </w:pPr>
      <w:r w:rsidRPr="002E74AF">
        <w:t xml:space="preserve">Предложенная методика учитывает общую специфику промышленного производства, и в то же время в большей степени ориентирована на оценку </w:t>
      </w:r>
      <w:r w:rsidR="009B51B2">
        <w:t xml:space="preserve">конкурентоспособности производственных </w:t>
      </w:r>
      <w:r w:rsidRPr="002E74AF">
        <w:t>промышленных предприятий, поскольку:</w:t>
      </w:r>
    </w:p>
    <w:p w:rsidR="00AF3BB8" w:rsidRDefault="00AF3BB8" w:rsidP="00092444">
      <w:pPr>
        <w:pStyle w:val="12"/>
      </w:pPr>
    </w:p>
    <w:p w:rsidR="008E1F51" w:rsidRPr="002E74AF" w:rsidRDefault="008E1F51" w:rsidP="00092444">
      <w:pPr>
        <w:pStyle w:val="12"/>
      </w:pPr>
    </w:p>
    <w:p w:rsidR="00092444" w:rsidRPr="002E74AF" w:rsidRDefault="00092444" w:rsidP="00092444">
      <w:pPr>
        <w:pStyle w:val="12"/>
        <w:numPr>
          <w:ilvl w:val="0"/>
          <w:numId w:val="3"/>
        </w:numPr>
        <w:ind w:left="862" w:hanging="357"/>
      </w:pPr>
      <w:r w:rsidRPr="002E74AF">
        <w:t xml:space="preserve">во-первых, в разработке методики было учтено, что </w:t>
      </w:r>
      <w:r w:rsidR="009B51B2">
        <w:t>п</w:t>
      </w:r>
      <w:r w:rsidRPr="002E74AF">
        <w:t>роизводство весьма существенно зависит от динамики потребительского спроса и кроме эт</w:t>
      </w:r>
      <w:r w:rsidR="009B51B2">
        <w:t xml:space="preserve">ого, было учтено, что </w:t>
      </w:r>
      <w:r w:rsidRPr="002E74AF">
        <w:t>производство характеризуется высокой зависимостью от смежников и поставщиков;</w:t>
      </w:r>
    </w:p>
    <w:p w:rsidR="00092444" w:rsidRPr="002E74AF" w:rsidRDefault="00092444" w:rsidP="00092444">
      <w:pPr>
        <w:pStyle w:val="12"/>
        <w:numPr>
          <w:ilvl w:val="0"/>
          <w:numId w:val="3"/>
        </w:numPr>
        <w:ind w:left="862" w:hanging="357"/>
      </w:pPr>
      <w:r w:rsidRPr="002E74AF">
        <w:t xml:space="preserve">во-вторых, немаловажно, что для оценки конкурентоспособности в настоящее время не предложено единой унифицированной методики, поэтому при разработке методики с одной стороны были учтены ранее </w:t>
      </w:r>
      <w:r w:rsidR="009B51B2">
        <w:t>указанные особенности промышленных производств</w:t>
      </w:r>
      <w:r w:rsidRPr="002E74AF">
        <w:t>, а с другой стороны методика разрабатывалась на принципах универсализма в целях её адаптации к оценке конкурентоспособности любых предприятий, прямо или косвенно включенных в сферу промышленного производства;</w:t>
      </w:r>
    </w:p>
    <w:p w:rsidR="00092444" w:rsidRPr="002E74AF" w:rsidRDefault="00092444" w:rsidP="00092444">
      <w:pPr>
        <w:pStyle w:val="12"/>
        <w:numPr>
          <w:ilvl w:val="0"/>
          <w:numId w:val="3"/>
        </w:numPr>
        <w:ind w:left="862" w:hanging="357"/>
      </w:pPr>
      <w:r w:rsidRPr="002E74AF">
        <w:t>в-третьих, при разработке методики было у</w:t>
      </w:r>
      <w:r w:rsidR="009B51B2">
        <w:t>чтено, что сфера промышленного</w:t>
      </w:r>
      <w:r w:rsidRPr="002E74AF">
        <w:t xml:space="preserve"> производства характеризуется высокой способностью к созданию добавленной стоимости, в том числе за счет сокращения производственного цикла, что позволяет генерировать больший объем экономических выгод на единицу капитальных затрат. </w:t>
      </w:r>
    </w:p>
    <w:bookmarkEnd w:id="4"/>
    <w:p w:rsidR="009B51B2" w:rsidRDefault="009B51B2" w:rsidP="00092444">
      <w:pPr>
        <w:pStyle w:val="12"/>
      </w:pPr>
    </w:p>
    <w:p w:rsidR="00F2365B" w:rsidRDefault="00F2365B"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5E0A73" w:rsidRDefault="005E0A73" w:rsidP="00F2365B">
      <w:pPr>
        <w:rPr>
          <w:rFonts w:ascii="Times New Roman" w:hAnsi="Times New Roman" w:cs="Times New Roman"/>
          <w:sz w:val="28"/>
          <w:szCs w:val="28"/>
        </w:rPr>
      </w:pPr>
    </w:p>
    <w:p w:rsidR="0081557A" w:rsidRDefault="0081557A" w:rsidP="005E0A73">
      <w:pPr>
        <w:jc w:val="center"/>
        <w:rPr>
          <w:rFonts w:ascii="Times New Roman" w:hAnsi="Times New Roman" w:cs="Times New Roman"/>
          <w:b/>
          <w:sz w:val="28"/>
          <w:szCs w:val="28"/>
        </w:rPr>
      </w:pPr>
    </w:p>
    <w:p w:rsidR="0081557A" w:rsidRDefault="0081557A" w:rsidP="005E0A73">
      <w:pPr>
        <w:jc w:val="center"/>
        <w:rPr>
          <w:rFonts w:ascii="Times New Roman" w:hAnsi="Times New Roman" w:cs="Times New Roman"/>
          <w:b/>
          <w:sz w:val="28"/>
          <w:szCs w:val="28"/>
        </w:rPr>
      </w:pPr>
    </w:p>
    <w:p w:rsidR="0081557A" w:rsidRDefault="0081557A" w:rsidP="005E0A73">
      <w:pPr>
        <w:jc w:val="center"/>
        <w:rPr>
          <w:rFonts w:ascii="Times New Roman" w:hAnsi="Times New Roman" w:cs="Times New Roman"/>
          <w:b/>
          <w:sz w:val="28"/>
          <w:szCs w:val="28"/>
        </w:rPr>
      </w:pPr>
    </w:p>
    <w:p w:rsidR="00AF3BB8" w:rsidRDefault="00AF3BB8" w:rsidP="005E0A73">
      <w:pPr>
        <w:jc w:val="center"/>
        <w:rPr>
          <w:rFonts w:ascii="Times New Roman" w:hAnsi="Times New Roman" w:cs="Times New Roman"/>
          <w:b/>
          <w:sz w:val="28"/>
          <w:szCs w:val="28"/>
        </w:rPr>
      </w:pPr>
    </w:p>
    <w:p w:rsidR="00AF3BB8" w:rsidRDefault="00AF3BB8" w:rsidP="005E0A73">
      <w:pPr>
        <w:jc w:val="center"/>
        <w:rPr>
          <w:rFonts w:ascii="Times New Roman" w:hAnsi="Times New Roman" w:cs="Times New Roman"/>
          <w:b/>
          <w:sz w:val="28"/>
          <w:szCs w:val="28"/>
        </w:rPr>
      </w:pPr>
    </w:p>
    <w:p w:rsidR="005E0A73" w:rsidRDefault="005E0A73" w:rsidP="005E0A73">
      <w:pPr>
        <w:jc w:val="center"/>
        <w:rPr>
          <w:rFonts w:ascii="Times New Roman" w:hAnsi="Times New Roman" w:cs="Times New Roman"/>
          <w:b/>
          <w:sz w:val="28"/>
          <w:szCs w:val="28"/>
        </w:rPr>
      </w:pPr>
      <w:r w:rsidRPr="005E0A73">
        <w:rPr>
          <w:rFonts w:ascii="Times New Roman" w:hAnsi="Times New Roman" w:cs="Times New Roman"/>
          <w:b/>
          <w:sz w:val="28"/>
          <w:szCs w:val="28"/>
        </w:rPr>
        <w:t>Список использованной литературы</w:t>
      </w:r>
    </w:p>
    <w:p w:rsidR="004237B6" w:rsidRPr="005E0A73" w:rsidRDefault="004237B6" w:rsidP="004237B6">
      <w:pPr>
        <w:pStyle w:val="a7"/>
        <w:numPr>
          <w:ilvl w:val="0"/>
          <w:numId w:val="4"/>
        </w:numPr>
        <w:spacing w:line="360" w:lineRule="auto"/>
        <w:rPr>
          <w:rFonts w:ascii="Times New Roman" w:hAnsi="Times New Roman" w:cs="Times New Roman"/>
          <w:sz w:val="28"/>
          <w:szCs w:val="28"/>
        </w:rPr>
      </w:pPr>
      <w:r w:rsidRPr="005E0A73">
        <w:rPr>
          <w:rFonts w:ascii="Times New Roman" w:hAnsi="Times New Roman" w:cs="Times New Roman"/>
          <w:sz w:val="28"/>
          <w:szCs w:val="28"/>
        </w:rPr>
        <w:t>Адаптировано автором на основе источника: Ахматова М., Попов Е. Теоретические модели конкурентоспособности // Маркетинг. – 2003, №4. – С. 26.</w:t>
      </w:r>
    </w:p>
    <w:p w:rsidR="005E0A73" w:rsidRPr="005E0A73" w:rsidRDefault="005E0A73" w:rsidP="005E0A73">
      <w:pPr>
        <w:pStyle w:val="a3"/>
        <w:numPr>
          <w:ilvl w:val="0"/>
          <w:numId w:val="4"/>
        </w:numPr>
        <w:spacing w:line="360" w:lineRule="auto"/>
        <w:rPr>
          <w:sz w:val="28"/>
          <w:szCs w:val="28"/>
        </w:rPr>
      </w:pPr>
      <w:proofErr w:type="spellStart"/>
      <w:r w:rsidRPr="005E0A73">
        <w:rPr>
          <w:sz w:val="28"/>
          <w:szCs w:val="28"/>
        </w:rPr>
        <w:t>Поляничкин</w:t>
      </w:r>
      <w:proofErr w:type="spellEnd"/>
      <w:r w:rsidRPr="005E0A73">
        <w:rPr>
          <w:sz w:val="28"/>
          <w:szCs w:val="28"/>
        </w:rPr>
        <w:t xml:space="preserve"> Ю.А. Методы оценки конкурентоспособности предприятий // Экономико-юридический журнал "Бизнес в законе". – 2012. – № 3. – С. 191-194.</w:t>
      </w:r>
    </w:p>
    <w:p w:rsidR="005E0A73" w:rsidRPr="005E0A73" w:rsidRDefault="005E0A73" w:rsidP="005E0A73">
      <w:pPr>
        <w:pStyle w:val="a7"/>
        <w:numPr>
          <w:ilvl w:val="0"/>
          <w:numId w:val="4"/>
        </w:numPr>
        <w:spacing w:line="360" w:lineRule="auto"/>
        <w:rPr>
          <w:rFonts w:ascii="Times New Roman" w:hAnsi="Times New Roman" w:cs="Times New Roman"/>
          <w:sz w:val="28"/>
          <w:szCs w:val="28"/>
        </w:rPr>
      </w:pPr>
      <w:proofErr w:type="spellStart"/>
      <w:r w:rsidRPr="005E0A73">
        <w:rPr>
          <w:rFonts w:ascii="Times New Roman" w:hAnsi="Times New Roman" w:cs="Times New Roman"/>
          <w:sz w:val="28"/>
          <w:szCs w:val="28"/>
        </w:rPr>
        <w:t>Шигапова</w:t>
      </w:r>
      <w:proofErr w:type="spellEnd"/>
      <w:r w:rsidRPr="005E0A73">
        <w:rPr>
          <w:rFonts w:ascii="Times New Roman" w:hAnsi="Times New Roman" w:cs="Times New Roman"/>
          <w:sz w:val="28"/>
          <w:szCs w:val="28"/>
        </w:rPr>
        <w:t xml:space="preserve"> З.Ф. Методы оценки конкурентоспособности предприятий // Социально-экономические и технические системы: исследование, проектирование, оптимизация. – 2008. – № 2. – С. 3.</w:t>
      </w:r>
    </w:p>
    <w:p w:rsidR="005E0A73" w:rsidRPr="005E0A73" w:rsidRDefault="005E0A73" w:rsidP="005E0A73">
      <w:pPr>
        <w:pStyle w:val="2"/>
        <w:numPr>
          <w:ilvl w:val="0"/>
          <w:numId w:val="4"/>
        </w:numPr>
        <w:spacing w:line="360" w:lineRule="auto"/>
        <w:rPr>
          <w:sz w:val="28"/>
          <w:szCs w:val="28"/>
          <w:lang w:val="en-US"/>
        </w:rPr>
      </w:pPr>
      <w:r w:rsidRPr="005E0A73">
        <w:rPr>
          <w:sz w:val="28"/>
          <w:szCs w:val="28"/>
        </w:rPr>
        <w:t>См</w:t>
      </w:r>
      <w:r w:rsidRPr="005E0A73">
        <w:rPr>
          <w:sz w:val="28"/>
          <w:szCs w:val="28"/>
          <w:lang w:val="en-US"/>
        </w:rPr>
        <w:t xml:space="preserve">., </w:t>
      </w:r>
      <w:r w:rsidRPr="005E0A73">
        <w:rPr>
          <w:sz w:val="28"/>
          <w:szCs w:val="28"/>
        </w:rPr>
        <w:t>например</w:t>
      </w:r>
      <w:r w:rsidRPr="005E0A73">
        <w:rPr>
          <w:sz w:val="28"/>
          <w:szCs w:val="28"/>
          <w:lang w:val="en-US"/>
        </w:rPr>
        <w:t xml:space="preserve">: Stern J.M., </w:t>
      </w:r>
      <w:proofErr w:type="spellStart"/>
      <w:r w:rsidRPr="005E0A73">
        <w:rPr>
          <w:sz w:val="28"/>
          <w:szCs w:val="28"/>
          <w:lang w:val="en-US"/>
        </w:rPr>
        <w:t>Shiely</w:t>
      </w:r>
      <w:proofErr w:type="spellEnd"/>
      <w:r w:rsidRPr="005E0A73">
        <w:rPr>
          <w:sz w:val="28"/>
          <w:szCs w:val="28"/>
          <w:lang w:val="en-US"/>
        </w:rPr>
        <w:t xml:space="preserve"> J.S., Ross I. The EVA challenge: implementing value-added change in an organization.  – John Wiley &amp; Sons, Inc., 2001.</w:t>
      </w:r>
    </w:p>
    <w:p w:rsidR="005E0A73" w:rsidRPr="005E0A73" w:rsidRDefault="005E0A73" w:rsidP="005E0A73">
      <w:pPr>
        <w:pStyle w:val="a7"/>
        <w:numPr>
          <w:ilvl w:val="0"/>
          <w:numId w:val="4"/>
        </w:numPr>
        <w:spacing w:line="360" w:lineRule="auto"/>
        <w:rPr>
          <w:rFonts w:ascii="Times New Roman" w:hAnsi="Times New Roman" w:cs="Times New Roman"/>
          <w:sz w:val="28"/>
          <w:szCs w:val="28"/>
        </w:rPr>
      </w:pPr>
      <w:r w:rsidRPr="005E0A73">
        <w:rPr>
          <w:rFonts w:ascii="Times New Roman" w:hAnsi="Times New Roman" w:cs="Times New Roman"/>
          <w:sz w:val="28"/>
          <w:szCs w:val="28"/>
        </w:rPr>
        <w:t xml:space="preserve">См., например: </w:t>
      </w:r>
      <w:proofErr w:type="spellStart"/>
      <w:r w:rsidRPr="005E0A73">
        <w:rPr>
          <w:rFonts w:ascii="Times New Roman" w:hAnsi="Times New Roman" w:cs="Times New Roman"/>
          <w:sz w:val="28"/>
          <w:szCs w:val="28"/>
        </w:rPr>
        <w:t>Лукасевич</w:t>
      </w:r>
      <w:proofErr w:type="spellEnd"/>
      <w:r w:rsidRPr="005E0A73">
        <w:rPr>
          <w:rFonts w:ascii="Times New Roman" w:hAnsi="Times New Roman" w:cs="Times New Roman"/>
          <w:sz w:val="28"/>
          <w:szCs w:val="28"/>
        </w:rPr>
        <w:t xml:space="preserve"> И.Я. Финансовый менеджмент. – М.: </w:t>
      </w:r>
      <w:proofErr w:type="spellStart"/>
      <w:r w:rsidRPr="005E0A73">
        <w:rPr>
          <w:rFonts w:ascii="Times New Roman" w:hAnsi="Times New Roman" w:cs="Times New Roman"/>
          <w:sz w:val="28"/>
          <w:szCs w:val="28"/>
        </w:rPr>
        <w:t>Эксмо</w:t>
      </w:r>
      <w:proofErr w:type="spellEnd"/>
      <w:r w:rsidRPr="005E0A73">
        <w:rPr>
          <w:rFonts w:ascii="Times New Roman" w:hAnsi="Times New Roman" w:cs="Times New Roman"/>
          <w:sz w:val="28"/>
          <w:szCs w:val="28"/>
        </w:rPr>
        <w:t>, 2010.</w:t>
      </w:r>
    </w:p>
    <w:p w:rsidR="005E0A73" w:rsidRPr="005E0A73" w:rsidRDefault="005E0A73" w:rsidP="005E0A73">
      <w:pPr>
        <w:pStyle w:val="a7"/>
        <w:numPr>
          <w:ilvl w:val="0"/>
          <w:numId w:val="4"/>
        </w:numPr>
        <w:spacing w:line="360" w:lineRule="auto"/>
        <w:rPr>
          <w:rFonts w:ascii="Times New Roman" w:hAnsi="Times New Roman" w:cs="Times New Roman"/>
          <w:sz w:val="28"/>
          <w:szCs w:val="28"/>
        </w:rPr>
      </w:pPr>
      <w:r w:rsidRPr="005E0A73">
        <w:rPr>
          <w:rFonts w:ascii="Times New Roman" w:hAnsi="Times New Roman" w:cs="Times New Roman"/>
          <w:sz w:val="28"/>
          <w:szCs w:val="28"/>
        </w:rPr>
        <w:t xml:space="preserve">См., например: </w:t>
      </w:r>
      <w:proofErr w:type="spellStart"/>
      <w:r w:rsidRPr="005E0A73">
        <w:rPr>
          <w:rFonts w:ascii="Times New Roman" w:hAnsi="Times New Roman" w:cs="Times New Roman"/>
          <w:sz w:val="28"/>
          <w:szCs w:val="28"/>
        </w:rPr>
        <w:t>Лясников</w:t>
      </w:r>
      <w:proofErr w:type="spellEnd"/>
      <w:r w:rsidRPr="005E0A73">
        <w:rPr>
          <w:rFonts w:ascii="Times New Roman" w:hAnsi="Times New Roman" w:cs="Times New Roman"/>
          <w:sz w:val="28"/>
          <w:szCs w:val="28"/>
        </w:rPr>
        <w:t xml:space="preserve"> Н.В., Дудин М.Н., Широковских С.А. Предпринимательские структуры: устойчивость, </w:t>
      </w:r>
      <w:proofErr w:type="spellStart"/>
      <w:r w:rsidRPr="005E0A73">
        <w:rPr>
          <w:rFonts w:ascii="Times New Roman" w:hAnsi="Times New Roman" w:cs="Times New Roman"/>
          <w:sz w:val="28"/>
          <w:szCs w:val="28"/>
        </w:rPr>
        <w:t>инновационность</w:t>
      </w:r>
      <w:proofErr w:type="spellEnd"/>
      <w:r w:rsidRPr="005E0A73">
        <w:rPr>
          <w:rFonts w:ascii="Times New Roman" w:hAnsi="Times New Roman" w:cs="Times New Roman"/>
          <w:sz w:val="28"/>
          <w:szCs w:val="28"/>
        </w:rPr>
        <w:t>, конкурентоспособность. Монография. – М.: Издательство "Элит", 2011. – С.106.</w:t>
      </w:r>
    </w:p>
    <w:sectPr w:rsidR="005E0A73" w:rsidRPr="005E0A73" w:rsidSect="0090613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24" w:rsidRDefault="00BF4124" w:rsidP="00092444">
      <w:pPr>
        <w:spacing w:after="0" w:line="240" w:lineRule="auto"/>
      </w:pPr>
      <w:r>
        <w:separator/>
      </w:r>
    </w:p>
  </w:endnote>
  <w:endnote w:type="continuationSeparator" w:id="0">
    <w:p w:rsidR="00BF4124" w:rsidRDefault="00BF4124" w:rsidP="0009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24" w:rsidRDefault="00BF4124" w:rsidP="00092444">
      <w:pPr>
        <w:spacing w:after="0" w:line="240" w:lineRule="auto"/>
      </w:pPr>
      <w:r>
        <w:separator/>
      </w:r>
    </w:p>
  </w:footnote>
  <w:footnote w:type="continuationSeparator" w:id="0">
    <w:p w:rsidR="00BF4124" w:rsidRDefault="00BF4124" w:rsidP="00092444">
      <w:pPr>
        <w:spacing w:after="0" w:line="240" w:lineRule="auto"/>
      </w:pPr>
      <w:r>
        <w:continuationSeparator/>
      </w:r>
    </w:p>
  </w:footnote>
  <w:footnote w:id="1">
    <w:p w:rsidR="0090613B" w:rsidRDefault="0090613B" w:rsidP="0090613B">
      <w:pPr>
        <w:pStyle w:val="a3"/>
      </w:pPr>
      <w:r>
        <w:rPr>
          <w:rStyle w:val="a5"/>
        </w:rPr>
        <w:footnoteRef/>
      </w:r>
      <w:r>
        <w:t xml:space="preserve"> Адаптировано автором на основе источника: Ахматова М., Попов Е. Теоретические модели конкурентоспособности // Маркетинг. – 2003, №4. – С. 26.</w:t>
      </w:r>
    </w:p>
  </w:footnote>
  <w:footnote w:id="2">
    <w:p w:rsidR="0090613B" w:rsidRDefault="0090613B" w:rsidP="0090613B">
      <w:pPr>
        <w:pStyle w:val="a3"/>
      </w:pPr>
      <w:r>
        <w:rPr>
          <w:rStyle w:val="a5"/>
        </w:rPr>
        <w:footnoteRef/>
      </w:r>
      <w:r>
        <w:t xml:space="preserve"> </w:t>
      </w:r>
      <w:proofErr w:type="spellStart"/>
      <w:r>
        <w:t>Поляничкин</w:t>
      </w:r>
      <w:proofErr w:type="spellEnd"/>
      <w:r>
        <w:t xml:space="preserve"> Ю.А.</w:t>
      </w:r>
      <w:r w:rsidRPr="00F74FF3">
        <w:t xml:space="preserve"> </w:t>
      </w:r>
      <w:r>
        <w:t>Методы оценки конкурентоспособности предприятий // Экономико-юридический журнал "Бизнес в законе". – 2012. – № 3. – С. 191-194.</w:t>
      </w:r>
    </w:p>
  </w:footnote>
  <w:footnote w:id="3">
    <w:p w:rsidR="0090613B" w:rsidRDefault="0090613B" w:rsidP="0090613B">
      <w:pPr>
        <w:pStyle w:val="a3"/>
      </w:pPr>
      <w:r>
        <w:rPr>
          <w:rStyle w:val="a5"/>
        </w:rPr>
        <w:footnoteRef/>
      </w:r>
      <w:r>
        <w:t xml:space="preserve"> </w:t>
      </w:r>
      <w:proofErr w:type="spellStart"/>
      <w:r>
        <w:t>Шигапова</w:t>
      </w:r>
      <w:proofErr w:type="spellEnd"/>
      <w:r>
        <w:t xml:space="preserve"> З.Ф. Методы оценки конкурентоспособности предприятий // Социально-экономические и технические системы: исследование, проектирование, оптимизация. – 2008. – № 2. – С. 3.</w:t>
      </w:r>
    </w:p>
  </w:footnote>
  <w:footnote w:id="4">
    <w:p w:rsidR="0090613B" w:rsidRDefault="0090613B" w:rsidP="0090613B">
      <w:pPr>
        <w:pStyle w:val="a3"/>
      </w:pPr>
      <w:r>
        <w:rPr>
          <w:rStyle w:val="a5"/>
        </w:rPr>
        <w:footnoteRef/>
      </w:r>
      <w:r>
        <w:t xml:space="preserve"> </w:t>
      </w:r>
      <w:proofErr w:type="spellStart"/>
      <w:r>
        <w:t>Шигапова</w:t>
      </w:r>
      <w:proofErr w:type="spellEnd"/>
      <w:r>
        <w:t xml:space="preserve"> З.Ф. Методы оценки конкурентоспособности предприятий // Социально-экономические и технические системы: исследование, проектирование, оптимизация. – 2008. – № 2. – С. 3.</w:t>
      </w:r>
    </w:p>
  </w:footnote>
  <w:footnote w:id="5">
    <w:p w:rsidR="0090613B" w:rsidRDefault="0090613B" w:rsidP="0090613B">
      <w:pPr>
        <w:pStyle w:val="2"/>
      </w:pPr>
      <w:r>
        <w:rPr>
          <w:rStyle w:val="a5"/>
        </w:rPr>
        <w:footnoteRef/>
      </w:r>
      <w:r>
        <w:t xml:space="preserve"> Предложено автором </w:t>
      </w:r>
    </w:p>
  </w:footnote>
  <w:footnote w:id="6">
    <w:p w:rsidR="0090613B" w:rsidRDefault="0090613B" w:rsidP="0090613B">
      <w:pPr>
        <w:pStyle w:val="2"/>
      </w:pPr>
      <w:r>
        <w:rPr>
          <w:rStyle w:val="a5"/>
        </w:rPr>
        <w:footnoteRef/>
      </w:r>
      <w:r>
        <w:t xml:space="preserve"> Предложено автором </w:t>
      </w:r>
    </w:p>
  </w:footnote>
  <w:footnote w:id="7">
    <w:p w:rsidR="0081557A" w:rsidRDefault="0081557A" w:rsidP="0081557A">
      <w:pPr>
        <w:pStyle w:val="2"/>
      </w:pPr>
      <w:r>
        <w:rPr>
          <w:rStyle w:val="a5"/>
        </w:rPr>
        <w:footnoteRef/>
      </w:r>
      <w:r>
        <w:t xml:space="preserve"> Предложено автором </w:t>
      </w:r>
    </w:p>
  </w:footnote>
  <w:footnote w:id="8">
    <w:p w:rsidR="0081557A" w:rsidRDefault="0081557A" w:rsidP="0081557A">
      <w:pPr>
        <w:pStyle w:val="2"/>
      </w:pPr>
      <w:r>
        <w:rPr>
          <w:rStyle w:val="a5"/>
        </w:rPr>
        <w:footnoteRef/>
      </w:r>
      <w:r w:rsidRPr="005B4ED1">
        <w:t xml:space="preserve"> </w:t>
      </w:r>
      <w:r>
        <w:t>Предложено</w:t>
      </w:r>
      <w:r w:rsidRPr="005B4ED1">
        <w:t xml:space="preserve"> </w:t>
      </w:r>
      <w:r>
        <w:t>автором</w:t>
      </w:r>
      <w:r w:rsidRPr="005B4ED1">
        <w:t xml:space="preserve"> </w:t>
      </w:r>
    </w:p>
  </w:footnote>
  <w:footnote w:id="9">
    <w:p w:rsidR="0081557A" w:rsidRDefault="0081557A" w:rsidP="0081557A">
      <w:pPr>
        <w:pStyle w:val="2"/>
      </w:pPr>
      <w:r>
        <w:rPr>
          <w:rStyle w:val="a5"/>
        </w:rPr>
        <w:footnoteRef/>
      </w:r>
      <w:r w:rsidRPr="005B4ED1">
        <w:t xml:space="preserve"> </w:t>
      </w:r>
      <w:r>
        <w:t>Предложено</w:t>
      </w:r>
      <w:r w:rsidRPr="005B4ED1">
        <w:t xml:space="preserve"> </w:t>
      </w:r>
      <w:r>
        <w:t>автором</w:t>
      </w:r>
      <w:r w:rsidRPr="005B4ED1">
        <w:t xml:space="preserve"> </w:t>
      </w:r>
    </w:p>
  </w:footnote>
  <w:footnote w:id="10">
    <w:p w:rsidR="0081557A" w:rsidRDefault="0081557A" w:rsidP="0081557A">
      <w:pPr>
        <w:pStyle w:val="2"/>
      </w:pPr>
      <w:r>
        <w:rPr>
          <w:rStyle w:val="a5"/>
        </w:rPr>
        <w:footnoteRef/>
      </w:r>
      <w:r>
        <w:t xml:space="preserve"> Предложено автором </w:t>
      </w:r>
    </w:p>
  </w:footnote>
  <w:footnote w:id="11">
    <w:p w:rsidR="00AF3BB8" w:rsidRPr="00AF3BB8" w:rsidRDefault="0081557A" w:rsidP="0081557A">
      <w:pPr>
        <w:pStyle w:val="2"/>
        <w:rPr>
          <w:lang w:val="en-US"/>
        </w:rPr>
      </w:pPr>
      <w:r>
        <w:rPr>
          <w:rStyle w:val="a5"/>
        </w:rPr>
        <w:footnoteRef/>
      </w:r>
      <w:r w:rsidRPr="008C12F7">
        <w:rPr>
          <w:lang w:val="en-US"/>
        </w:rPr>
        <w:t xml:space="preserve"> </w:t>
      </w:r>
      <w:r>
        <w:t>См</w:t>
      </w:r>
      <w:r w:rsidRPr="008C12F7">
        <w:rPr>
          <w:lang w:val="en-US"/>
        </w:rPr>
        <w:t xml:space="preserve">., </w:t>
      </w:r>
      <w:r>
        <w:t>например</w:t>
      </w:r>
      <w:r w:rsidRPr="008C12F7">
        <w:rPr>
          <w:lang w:val="en-US"/>
        </w:rPr>
        <w:t xml:space="preserve">: </w:t>
      </w:r>
      <w:r w:rsidRPr="00957C29">
        <w:rPr>
          <w:lang w:val="en-US"/>
        </w:rPr>
        <w:t xml:space="preserve">Stern J.M., </w:t>
      </w:r>
      <w:proofErr w:type="spellStart"/>
      <w:r w:rsidRPr="00957C29">
        <w:rPr>
          <w:lang w:val="en-US"/>
        </w:rPr>
        <w:t>Shiely</w:t>
      </w:r>
      <w:proofErr w:type="spellEnd"/>
      <w:r w:rsidRPr="00957C29">
        <w:rPr>
          <w:lang w:val="en-US"/>
        </w:rPr>
        <w:t xml:space="preserve"> J.S., Ross I. The EVA challenge: implementing value-added change in </w:t>
      </w:r>
      <w:r w:rsidR="00AF3BB8" w:rsidRPr="00AF3BB8">
        <w:rPr>
          <w:lang w:val="en-US"/>
        </w:rPr>
        <w:t xml:space="preserve"> </w:t>
      </w:r>
    </w:p>
    <w:p w:rsidR="0081557A" w:rsidRPr="00E90927" w:rsidRDefault="00AF3BB8" w:rsidP="0081557A">
      <w:pPr>
        <w:pStyle w:val="2"/>
        <w:rPr>
          <w:lang w:val="en-US"/>
        </w:rPr>
      </w:pPr>
      <w:r w:rsidRPr="00E90927">
        <w:rPr>
          <w:lang w:val="en-US"/>
        </w:rPr>
        <w:t xml:space="preserve">    </w:t>
      </w:r>
      <w:proofErr w:type="gramStart"/>
      <w:r w:rsidR="0081557A" w:rsidRPr="00957C29">
        <w:rPr>
          <w:lang w:val="en-US"/>
        </w:rPr>
        <w:t>an</w:t>
      </w:r>
      <w:proofErr w:type="gramEnd"/>
      <w:r w:rsidR="0081557A" w:rsidRPr="00957C29">
        <w:rPr>
          <w:lang w:val="en-US"/>
        </w:rPr>
        <w:t xml:space="preserve"> organization.  </w:t>
      </w:r>
      <w:r w:rsidR="0081557A" w:rsidRPr="00E90927">
        <w:rPr>
          <w:lang w:val="en-US"/>
        </w:rPr>
        <w:t xml:space="preserve">– </w:t>
      </w:r>
      <w:r w:rsidR="0081557A" w:rsidRPr="00957C29">
        <w:rPr>
          <w:lang w:val="en-US"/>
        </w:rPr>
        <w:t>John</w:t>
      </w:r>
      <w:r w:rsidR="0081557A" w:rsidRPr="00E90927">
        <w:rPr>
          <w:lang w:val="en-US"/>
        </w:rPr>
        <w:t xml:space="preserve"> </w:t>
      </w:r>
      <w:r w:rsidR="0081557A" w:rsidRPr="00957C29">
        <w:rPr>
          <w:lang w:val="en-US"/>
        </w:rPr>
        <w:t>Wiley</w:t>
      </w:r>
      <w:r w:rsidR="0081557A" w:rsidRPr="00E90927">
        <w:rPr>
          <w:lang w:val="en-US"/>
        </w:rPr>
        <w:t xml:space="preserve"> &amp; </w:t>
      </w:r>
      <w:r w:rsidR="0081557A" w:rsidRPr="00957C29">
        <w:rPr>
          <w:lang w:val="en-US"/>
        </w:rPr>
        <w:t>Sons</w:t>
      </w:r>
      <w:r w:rsidR="0081557A" w:rsidRPr="00E90927">
        <w:rPr>
          <w:lang w:val="en-US"/>
        </w:rPr>
        <w:t xml:space="preserve">, </w:t>
      </w:r>
      <w:r w:rsidR="0081557A" w:rsidRPr="00957C29">
        <w:rPr>
          <w:lang w:val="en-US"/>
        </w:rPr>
        <w:t>Inc</w:t>
      </w:r>
      <w:r w:rsidR="0081557A" w:rsidRPr="00E90927">
        <w:rPr>
          <w:lang w:val="en-US"/>
        </w:rPr>
        <w:t>., 2001.</w:t>
      </w:r>
    </w:p>
  </w:footnote>
  <w:footnote w:id="12">
    <w:p w:rsidR="0081557A" w:rsidRDefault="0081557A" w:rsidP="0081557A">
      <w:pPr>
        <w:pStyle w:val="2"/>
      </w:pPr>
      <w:r>
        <w:rPr>
          <w:rStyle w:val="a5"/>
        </w:rPr>
        <w:footnoteRef/>
      </w:r>
      <w:r>
        <w:t xml:space="preserve"> См., например: </w:t>
      </w:r>
      <w:proofErr w:type="spellStart"/>
      <w:r w:rsidRPr="008C12F7">
        <w:t>Лукасевич</w:t>
      </w:r>
      <w:proofErr w:type="spellEnd"/>
      <w:r w:rsidRPr="008C12F7">
        <w:t xml:space="preserve"> И.Я. Финансовый менеджмент. – М.: </w:t>
      </w:r>
      <w:proofErr w:type="spellStart"/>
      <w:r w:rsidRPr="008C12F7">
        <w:t>Эксмо</w:t>
      </w:r>
      <w:proofErr w:type="spellEnd"/>
      <w:r w:rsidRPr="008C12F7">
        <w:t>, 2010.</w:t>
      </w:r>
    </w:p>
  </w:footnote>
  <w:footnote w:id="13">
    <w:p w:rsidR="0081557A" w:rsidRDefault="0081557A" w:rsidP="0081557A">
      <w:pPr>
        <w:pStyle w:val="2"/>
      </w:pPr>
      <w:r>
        <w:rPr>
          <w:rStyle w:val="a5"/>
        </w:rPr>
        <w:footnoteRef/>
      </w:r>
      <w:r>
        <w:t xml:space="preserve"> Предложено автором </w:t>
      </w:r>
    </w:p>
  </w:footnote>
  <w:footnote w:id="14">
    <w:p w:rsidR="0081557A" w:rsidRDefault="0081557A" w:rsidP="0081557A">
      <w:pPr>
        <w:pStyle w:val="2"/>
      </w:pPr>
      <w:r>
        <w:rPr>
          <w:rStyle w:val="a5"/>
        </w:rPr>
        <w:footnoteRef/>
      </w:r>
      <w:r>
        <w:t xml:space="preserve"> Расчет суммы инвестированного капитала можно провести двумя способами: через расчет стоимости чистых активов (поскольку чистые активы всегда равны сумме инвестированного капитала), либо через разность валюты баланса, беспроцентными обязательствами и наличными денежными средствами.</w:t>
      </w:r>
    </w:p>
  </w:footnote>
  <w:footnote w:id="15">
    <w:p w:rsidR="0081557A" w:rsidRDefault="0081557A" w:rsidP="0081557A">
      <w:pPr>
        <w:pStyle w:val="2"/>
      </w:pPr>
      <w:r>
        <w:rPr>
          <w:rStyle w:val="a5"/>
        </w:rPr>
        <w:footnoteRef/>
      </w:r>
      <w:r>
        <w:t xml:space="preserve"> Предложено автором </w:t>
      </w:r>
    </w:p>
  </w:footnote>
  <w:footnote w:id="16">
    <w:p w:rsidR="0081557A" w:rsidRDefault="0081557A" w:rsidP="0081557A">
      <w:pPr>
        <w:pStyle w:val="2"/>
      </w:pPr>
      <w:r>
        <w:rPr>
          <w:rStyle w:val="a5"/>
        </w:rPr>
        <w:footnoteRef/>
      </w:r>
      <w:r>
        <w:t xml:space="preserve"> Предложено автором </w:t>
      </w:r>
    </w:p>
  </w:footnote>
  <w:footnote w:id="17">
    <w:p w:rsidR="0081557A" w:rsidRDefault="0081557A" w:rsidP="0081557A">
      <w:pPr>
        <w:pStyle w:val="2"/>
      </w:pPr>
      <w:r>
        <w:rPr>
          <w:rStyle w:val="a5"/>
        </w:rPr>
        <w:footnoteRef/>
      </w:r>
      <w:r>
        <w:t xml:space="preserve"> Предложено автором </w:t>
      </w:r>
    </w:p>
  </w:footnote>
  <w:footnote w:id="18">
    <w:p w:rsidR="0081557A" w:rsidRDefault="0081557A" w:rsidP="0081557A">
      <w:pPr>
        <w:pStyle w:val="2"/>
      </w:pPr>
      <w:r>
        <w:rPr>
          <w:rStyle w:val="a5"/>
        </w:rPr>
        <w:footnoteRef/>
      </w:r>
      <w:r>
        <w:t xml:space="preserve"> Предложено автором </w:t>
      </w:r>
    </w:p>
  </w:footnote>
  <w:footnote w:id="19">
    <w:p w:rsidR="0081557A" w:rsidRDefault="0081557A" w:rsidP="0081557A">
      <w:pPr>
        <w:pStyle w:val="2"/>
      </w:pPr>
      <w:r>
        <w:rPr>
          <w:rStyle w:val="a5"/>
        </w:rPr>
        <w:footnoteRef/>
      </w:r>
      <w:r>
        <w:t xml:space="preserve"> Предложено автором </w:t>
      </w:r>
    </w:p>
  </w:footnote>
  <w:footnote w:id="20">
    <w:p w:rsidR="0081557A" w:rsidRDefault="0081557A" w:rsidP="0081557A">
      <w:pPr>
        <w:pStyle w:val="2"/>
      </w:pPr>
      <w:r>
        <w:rPr>
          <w:rStyle w:val="a5"/>
        </w:rPr>
        <w:footnoteRef/>
      </w:r>
      <w:r>
        <w:t xml:space="preserve"> Предложено автором </w:t>
      </w:r>
    </w:p>
  </w:footnote>
  <w:footnote w:id="21">
    <w:p w:rsidR="0081557A" w:rsidRDefault="0081557A" w:rsidP="0081557A">
      <w:pPr>
        <w:pStyle w:val="2"/>
      </w:pPr>
      <w:r w:rsidRPr="00527432">
        <w:rPr>
          <w:rStyle w:val="a5"/>
        </w:rPr>
        <w:footnoteRef/>
      </w:r>
      <w:r w:rsidRPr="00527432">
        <w:t xml:space="preserve"> Предложено автором </w:t>
      </w:r>
    </w:p>
  </w:footnote>
  <w:footnote w:id="22">
    <w:p w:rsidR="0081557A" w:rsidRDefault="0081557A" w:rsidP="0081557A">
      <w:pPr>
        <w:pStyle w:val="2"/>
      </w:pPr>
      <w:r>
        <w:rPr>
          <w:rStyle w:val="a5"/>
        </w:rPr>
        <w:footnoteRef/>
      </w:r>
      <w:r w:rsidRPr="00B3438E">
        <w:t xml:space="preserve"> </w:t>
      </w:r>
      <w:r>
        <w:t xml:space="preserve">Предложено автором </w:t>
      </w:r>
    </w:p>
  </w:footnote>
  <w:footnote w:id="23">
    <w:p w:rsidR="00AF3BB8" w:rsidRDefault="0081557A" w:rsidP="0081557A">
      <w:pPr>
        <w:pStyle w:val="2"/>
      </w:pPr>
      <w:r>
        <w:rPr>
          <w:rStyle w:val="a5"/>
        </w:rPr>
        <w:footnoteRef/>
      </w:r>
      <w:r>
        <w:t xml:space="preserve"> См., например: </w:t>
      </w:r>
      <w:proofErr w:type="spellStart"/>
      <w:r w:rsidRPr="005B4ED1">
        <w:t>Лясников</w:t>
      </w:r>
      <w:proofErr w:type="spellEnd"/>
      <w:r w:rsidRPr="005B4ED1">
        <w:t xml:space="preserve"> Н.В., Дудин М.Н., Широковских С.А. Предпринимательские структуры: </w:t>
      </w:r>
    </w:p>
    <w:p w:rsidR="00AF3BB8" w:rsidRDefault="00AF3BB8" w:rsidP="0081557A">
      <w:pPr>
        <w:pStyle w:val="2"/>
      </w:pPr>
      <w:r>
        <w:t xml:space="preserve">    </w:t>
      </w:r>
      <w:r w:rsidR="0081557A" w:rsidRPr="005B4ED1">
        <w:t xml:space="preserve">устойчивость, </w:t>
      </w:r>
      <w:proofErr w:type="spellStart"/>
      <w:r w:rsidR="0081557A" w:rsidRPr="005B4ED1">
        <w:t>инновационность</w:t>
      </w:r>
      <w:proofErr w:type="spellEnd"/>
      <w:r w:rsidR="0081557A" w:rsidRPr="005B4ED1">
        <w:t xml:space="preserve">, конкурентоспособность. Монография. </w:t>
      </w:r>
      <w:r w:rsidR="0081557A">
        <w:t xml:space="preserve">– </w:t>
      </w:r>
      <w:r w:rsidR="0081557A" w:rsidRPr="005B4ED1">
        <w:t xml:space="preserve">М.: Издательство </w:t>
      </w:r>
      <w:r w:rsidR="0081557A">
        <w:t>"</w:t>
      </w:r>
      <w:r w:rsidR="0081557A" w:rsidRPr="005B4ED1">
        <w:t>Элит</w:t>
      </w:r>
      <w:r w:rsidR="0081557A">
        <w:t>"</w:t>
      </w:r>
      <w:r w:rsidR="0081557A" w:rsidRPr="005B4ED1">
        <w:t xml:space="preserve">, </w:t>
      </w:r>
      <w:r>
        <w:t xml:space="preserve"> </w:t>
      </w:r>
    </w:p>
    <w:p w:rsidR="0081557A" w:rsidRDefault="00AF3BB8" w:rsidP="0081557A">
      <w:pPr>
        <w:pStyle w:val="2"/>
      </w:pPr>
      <w:r>
        <w:t xml:space="preserve">    </w:t>
      </w:r>
      <w:r w:rsidR="0081557A" w:rsidRPr="005B4ED1">
        <w:t>2011.</w:t>
      </w:r>
      <w:r w:rsidR="0081557A">
        <w:t xml:space="preserve"> – С.106.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95D"/>
    <w:multiLevelType w:val="hybridMultilevel"/>
    <w:tmpl w:val="1A2C8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051E37"/>
    <w:multiLevelType w:val="hybridMultilevel"/>
    <w:tmpl w:val="99E2D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696EBF"/>
    <w:multiLevelType w:val="hybridMultilevel"/>
    <w:tmpl w:val="C22A7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7D067D"/>
    <w:multiLevelType w:val="hybridMultilevel"/>
    <w:tmpl w:val="FE40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5"/>
    <w:rsid w:val="00061CB2"/>
    <w:rsid w:val="00092444"/>
    <w:rsid w:val="00256FAC"/>
    <w:rsid w:val="00274E6F"/>
    <w:rsid w:val="003A5618"/>
    <w:rsid w:val="004237B6"/>
    <w:rsid w:val="005E0A73"/>
    <w:rsid w:val="005F4E54"/>
    <w:rsid w:val="00676313"/>
    <w:rsid w:val="0081557A"/>
    <w:rsid w:val="008428EA"/>
    <w:rsid w:val="008E1F51"/>
    <w:rsid w:val="0090613B"/>
    <w:rsid w:val="00912787"/>
    <w:rsid w:val="009B51B2"/>
    <w:rsid w:val="009D6BC5"/>
    <w:rsid w:val="00A17D89"/>
    <w:rsid w:val="00A97259"/>
    <w:rsid w:val="00AF3BB8"/>
    <w:rsid w:val="00BA6935"/>
    <w:rsid w:val="00BB1550"/>
    <w:rsid w:val="00BF4124"/>
    <w:rsid w:val="00BF6325"/>
    <w:rsid w:val="00CB44BF"/>
    <w:rsid w:val="00E90927"/>
    <w:rsid w:val="00F2365B"/>
    <w:rsid w:val="00F54AF3"/>
    <w:rsid w:val="00FD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244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Знак Знак Знак Знак Знак,Знак Знак Знак Знак1,Знак Знак Знак Знак1 Знак,Знак Знак Знак Знак1 Знак Знак,single space,footnote te,Текст сноски Знак1,Текст сноски Знак Знак,Текст сноски Знак1 Знак,Знак,Знак1,З,fn"/>
    <w:basedOn w:val="a"/>
    <w:link w:val="a4"/>
    <w:uiPriority w:val="99"/>
    <w:qFormat/>
    <w:rsid w:val="0009244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 Знак,Знак Знак Знак Знак Знак Знак,Знак Знак Знак Знак1 Знак1,Знак Знак Знак Знак1 Знак Знак1,Знак Знак Знак Знак1 Знак Знак Знак,single space Знак,footnote te Знак,Текст сноски Знак1 Знак1,Знак Знак,З Знак"/>
    <w:basedOn w:val="a0"/>
    <w:link w:val="a3"/>
    <w:uiPriority w:val="99"/>
    <w:rsid w:val="000924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SUPERS,Referencia nota al pie,fr,Used by Word for Help footnote symbols,Мой Текст сноски"/>
    <w:uiPriority w:val="99"/>
    <w:rsid w:val="00092444"/>
    <w:rPr>
      <w:vertAlign w:val="superscript"/>
    </w:rPr>
  </w:style>
  <w:style w:type="paragraph" w:customStyle="1" w:styleId="11">
    <w:name w:val="Без интервала1"/>
    <w:rsid w:val="00092444"/>
    <w:pPr>
      <w:widowControl w:val="0"/>
      <w:spacing w:after="0" w:line="240" w:lineRule="auto"/>
      <w:jc w:val="center"/>
    </w:pPr>
    <w:rPr>
      <w:rFonts w:ascii="Times New Roman" w:eastAsia="Times New Roman" w:hAnsi="Times New Roman" w:cs="Times New Roman"/>
      <w:sz w:val="28"/>
    </w:rPr>
  </w:style>
  <w:style w:type="paragraph" w:customStyle="1" w:styleId="12">
    <w:name w:val="Стиль1"/>
    <w:basedOn w:val="a"/>
    <w:link w:val="13"/>
    <w:qFormat/>
    <w:rsid w:val="00092444"/>
    <w:pPr>
      <w:spacing w:after="0" w:line="360" w:lineRule="auto"/>
      <w:ind w:firstLine="709"/>
      <w:jc w:val="both"/>
    </w:pPr>
    <w:rPr>
      <w:rFonts w:ascii="Times New Roman" w:eastAsia="Times New Roman" w:hAnsi="Times New Roman" w:cs="Times New Roman"/>
      <w:sz w:val="28"/>
    </w:rPr>
  </w:style>
  <w:style w:type="character" w:customStyle="1" w:styleId="13">
    <w:name w:val="Стиль1 Знак"/>
    <w:link w:val="12"/>
    <w:locked/>
    <w:rsid w:val="00092444"/>
    <w:rPr>
      <w:rFonts w:ascii="Times New Roman" w:eastAsia="Times New Roman" w:hAnsi="Times New Roman" w:cs="Times New Roman"/>
      <w:sz w:val="28"/>
    </w:rPr>
  </w:style>
  <w:style w:type="paragraph" w:customStyle="1" w:styleId="2">
    <w:name w:val="Сноска 2"/>
    <w:basedOn w:val="a3"/>
    <w:link w:val="20"/>
    <w:rsid w:val="00092444"/>
    <w:pPr>
      <w:ind w:firstLine="709"/>
      <w:jc w:val="both"/>
    </w:pPr>
    <w:rPr>
      <w:lang w:eastAsia="en-US"/>
    </w:rPr>
  </w:style>
  <w:style w:type="character" w:customStyle="1" w:styleId="20">
    <w:name w:val="Сноска 2 Знак"/>
    <w:link w:val="2"/>
    <w:locked/>
    <w:rsid w:val="00092444"/>
    <w:rPr>
      <w:rFonts w:ascii="Times New Roman" w:eastAsia="Times New Roman" w:hAnsi="Times New Roman" w:cs="Times New Roman"/>
      <w:sz w:val="20"/>
      <w:szCs w:val="20"/>
    </w:rPr>
  </w:style>
  <w:style w:type="character" w:customStyle="1" w:styleId="10">
    <w:name w:val="Заголовок 1 Знак"/>
    <w:basedOn w:val="a0"/>
    <w:link w:val="1"/>
    <w:rsid w:val="00092444"/>
    <w:rPr>
      <w:rFonts w:ascii="Arial" w:eastAsia="Times New Roman" w:hAnsi="Arial" w:cs="Arial"/>
      <w:b/>
      <w:bCs/>
      <w:kern w:val="32"/>
      <w:sz w:val="32"/>
      <w:szCs w:val="32"/>
      <w:lang w:eastAsia="ru-RU"/>
    </w:rPr>
  </w:style>
  <w:style w:type="paragraph" w:styleId="a6">
    <w:name w:val="Normal (Web)"/>
    <w:aliases w:val=" Знак Знак Знак Знак,Знак Знак Знак Знак,Обычный (Web),Рисунок"/>
    <w:basedOn w:val="a"/>
    <w:uiPriority w:val="99"/>
    <w:unhideWhenUsed/>
    <w:rsid w:val="00092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E0A73"/>
    <w:pPr>
      <w:ind w:left="720"/>
      <w:contextualSpacing/>
    </w:pPr>
  </w:style>
  <w:style w:type="paragraph" w:styleId="a8">
    <w:name w:val="Balloon Text"/>
    <w:basedOn w:val="a"/>
    <w:link w:val="a9"/>
    <w:uiPriority w:val="99"/>
    <w:semiHidden/>
    <w:unhideWhenUsed/>
    <w:rsid w:val="00AF3B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3B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244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Знак Знак Знак Знак Знак,Знак Знак Знак Знак1,Знак Знак Знак Знак1 Знак,Знак Знак Знак Знак1 Знак Знак,single space,footnote te,Текст сноски Знак1,Текст сноски Знак Знак,Текст сноски Знак1 Знак,Знак,Знак1,З,fn"/>
    <w:basedOn w:val="a"/>
    <w:link w:val="a4"/>
    <w:uiPriority w:val="99"/>
    <w:qFormat/>
    <w:rsid w:val="0009244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 Знак,Знак Знак Знак Знак Знак Знак,Знак Знак Знак Знак1 Знак1,Знак Знак Знак Знак1 Знак Знак1,Знак Знак Знак Знак1 Знак Знак Знак,single space Знак,footnote te Знак,Текст сноски Знак1 Знак1,Знак Знак,З Знак"/>
    <w:basedOn w:val="a0"/>
    <w:link w:val="a3"/>
    <w:uiPriority w:val="99"/>
    <w:rsid w:val="000924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SUPERS,Referencia nota al pie,fr,Used by Word for Help footnote symbols,Мой Текст сноски"/>
    <w:uiPriority w:val="99"/>
    <w:rsid w:val="00092444"/>
    <w:rPr>
      <w:vertAlign w:val="superscript"/>
    </w:rPr>
  </w:style>
  <w:style w:type="paragraph" w:customStyle="1" w:styleId="11">
    <w:name w:val="Без интервала1"/>
    <w:rsid w:val="00092444"/>
    <w:pPr>
      <w:widowControl w:val="0"/>
      <w:spacing w:after="0" w:line="240" w:lineRule="auto"/>
      <w:jc w:val="center"/>
    </w:pPr>
    <w:rPr>
      <w:rFonts w:ascii="Times New Roman" w:eastAsia="Times New Roman" w:hAnsi="Times New Roman" w:cs="Times New Roman"/>
      <w:sz w:val="28"/>
    </w:rPr>
  </w:style>
  <w:style w:type="paragraph" w:customStyle="1" w:styleId="12">
    <w:name w:val="Стиль1"/>
    <w:basedOn w:val="a"/>
    <w:link w:val="13"/>
    <w:qFormat/>
    <w:rsid w:val="00092444"/>
    <w:pPr>
      <w:spacing w:after="0" w:line="360" w:lineRule="auto"/>
      <w:ind w:firstLine="709"/>
      <w:jc w:val="both"/>
    </w:pPr>
    <w:rPr>
      <w:rFonts w:ascii="Times New Roman" w:eastAsia="Times New Roman" w:hAnsi="Times New Roman" w:cs="Times New Roman"/>
      <w:sz w:val="28"/>
    </w:rPr>
  </w:style>
  <w:style w:type="character" w:customStyle="1" w:styleId="13">
    <w:name w:val="Стиль1 Знак"/>
    <w:link w:val="12"/>
    <w:locked/>
    <w:rsid w:val="00092444"/>
    <w:rPr>
      <w:rFonts w:ascii="Times New Roman" w:eastAsia="Times New Roman" w:hAnsi="Times New Roman" w:cs="Times New Roman"/>
      <w:sz w:val="28"/>
    </w:rPr>
  </w:style>
  <w:style w:type="paragraph" w:customStyle="1" w:styleId="2">
    <w:name w:val="Сноска 2"/>
    <w:basedOn w:val="a3"/>
    <w:link w:val="20"/>
    <w:rsid w:val="00092444"/>
    <w:pPr>
      <w:ind w:firstLine="709"/>
      <w:jc w:val="both"/>
    </w:pPr>
    <w:rPr>
      <w:lang w:eastAsia="en-US"/>
    </w:rPr>
  </w:style>
  <w:style w:type="character" w:customStyle="1" w:styleId="20">
    <w:name w:val="Сноска 2 Знак"/>
    <w:link w:val="2"/>
    <w:locked/>
    <w:rsid w:val="00092444"/>
    <w:rPr>
      <w:rFonts w:ascii="Times New Roman" w:eastAsia="Times New Roman" w:hAnsi="Times New Roman" w:cs="Times New Roman"/>
      <w:sz w:val="20"/>
      <w:szCs w:val="20"/>
    </w:rPr>
  </w:style>
  <w:style w:type="character" w:customStyle="1" w:styleId="10">
    <w:name w:val="Заголовок 1 Знак"/>
    <w:basedOn w:val="a0"/>
    <w:link w:val="1"/>
    <w:rsid w:val="00092444"/>
    <w:rPr>
      <w:rFonts w:ascii="Arial" w:eastAsia="Times New Roman" w:hAnsi="Arial" w:cs="Arial"/>
      <w:b/>
      <w:bCs/>
      <w:kern w:val="32"/>
      <w:sz w:val="32"/>
      <w:szCs w:val="32"/>
      <w:lang w:eastAsia="ru-RU"/>
    </w:rPr>
  </w:style>
  <w:style w:type="paragraph" w:styleId="a6">
    <w:name w:val="Normal (Web)"/>
    <w:aliases w:val=" Знак Знак Знак Знак,Знак Знак Знак Знак,Обычный (Web),Рисунок"/>
    <w:basedOn w:val="a"/>
    <w:uiPriority w:val="99"/>
    <w:unhideWhenUsed/>
    <w:rsid w:val="00092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E0A73"/>
    <w:pPr>
      <w:ind w:left="720"/>
      <w:contextualSpacing/>
    </w:pPr>
  </w:style>
  <w:style w:type="paragraph" w:styleId="a8">
    <w:name w:val="Balloon Text"/>
    <w:basedOn w:val="a"/>
    <w:link w:val="a9"/>
    <w:uiPriority w:val="99"/>
    <w:semiHidden/>
    <w:unhideWhenUsed/>
    <w:rsid w:val="00AF3B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 Виталий Александрович</dc:creator>
  <cp:lastModifiedBy>Игорь</cp:lastModifiedBy>
  <cp:revision>2</cp:revision>
  <dcterms:created xsi:type="dcterms:W3CDTF">2016-09-26T13:54:00Z</dcterms:created>
  <dcterms:modified xsi:type="dcterms:W3CDTF">2016-09-26T13:54:00Z</dcterms:modified>
</cp:coreProperties>
</file>