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AC" w:rsidRDefault="005C1048" w:rsidP="00451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«Ралли Деда Мороза» удалось</w:t>
      </w:r>
      <w:r w:rsidR="00C276AC">
        <w:rPr>
          <w:b/>
          <w:sz w:val="28"/>
          <w:szCs w:val="28"/>
        </w:rPr>
        <w:t>.</w:t>
      </w:r>
    </w:p>
    <w:p w:rsidR="00451ABB" w:rsidRPr="00C276AC" w:rsidRDefault="00C276AC" w:rsidP="00451ABB">
      <w:pPr>
        <w:rPr>
          <w:b/>
          <w:sz w:val="24"/>
          <w:szCs w:val="24"/>
        </w:rPr>
      </w:pPr>
      <w:r w:rsidRPr="00C276AC">
        <w:rPr>
          <w:b/>
          <w:sz w:val="24"/>
          <w:szCs w:val="24"/>
        </w:rPr>
        <w:t>Потребительская активность в декабре 2014-го обогнала инфляцию</w:t>
      </w:r>
      <w:r w:rsidR="00451ABB" w:rsidRPr="00C276AC">
        <w:rPr>
          <w:b/>
          <w:sz w:val="24"/>
          <w:szCs w:val="24"/>
        </w:rPr>
        <w:t>.</w:t>
      </w:r>
    </w:p>
    <w:p w:rsidR="00451ABB" w:rsidRPr="00451ABB" w:rsidRDefault="00451ABB" w:rsidP="00451ABB">
      <w:pPr>
        <w:rPr>
          <w:b/>
          <w:sz w:val="20"/>
          <w:szCs w:val="20"/>
        </w:rPr>
      </w:pPr>
      <w:r w:rsidRPr="00C276AC">
        <w:rPr>
          <w:b/>
          <w:sz w:val="24"/>
          <w:szCs w:val="24"/>
        </w:rPr>
        <w:t>Игорь Березин</w:t>
      </w:r>
      <w:r w:rsidRPr="00451ABB">
        <w:rPr>
          <w:b/>
          <w:sz w:val="20"/>
          <w:szCs w:val="20"/>
        </w:rPr>
        <w:t xml:space="preserve">, Ведущий эксперт исследовательского холдинга </w:t>
      </w:r>
      <w:r w:rsidRPr="00451ABB">
        <w:rPr>
          <w:b/>
          <w:sz w:val="20"/>
          <w:szCs w:val="20"/>
          <w:lang w:val="en-US"/>
        </w:rPr>
        <w:t>Romir</w:t>
      </w:r>
      <w:r w:rsidRPr="00451ABB">
        <w:rPr>
          <w:b/>
          <w:sz w:val="20"/>
          <w:szCs w:val="20"/>
        </w:rPr>
        <w:t>, Президент Гильдии Маркетологов</w:t>
      </w:r>
    </w:p>
    <w:p w:rsidR="00451ABB" w:rsidRPr="00451ABB" w:rsidRDefault="00451ABB" w:rsidP="00451ABB">
      <w:pPr>
        <w:rPr>
          <w:b/>
        </w:rPr>
      </w:pPr>
      <w:bookmarkStart w:id="0" w:name="_GoBack"/>
      <w:bookmarkEnd w:id="0"/>
    </w:p>
    <w:p w:rsidR="00451ABB" w:rsidRPr="00451ABB" w:rsidRDefault="00451ABB" w:rsidP="00451ABB">
      <w:pPr>
        <w:rPr>
          <w:b/>
        </w:rPr>
      </w:pPr>
      <w:r w:rsidRPr="00451ABB">
        <w:rPr>
          <w:b/>
        </w:rPr>
        <w:t xml:space="preserve">В </w:t>
      </w:r>
      <w:r w:rsidR="005C1048">
        <w:rPr>
          <w:b/>
        </w:rPr>
        <w:t>декабре</w:t>
      </w:r>
      <w:r w:rsidRPr="00451ABB">
        <w:rPr>
          <w:b/>
        </w:rPr>
        <w:t xml:space="preserve"> 2014-го года повседневные потребительские расходы выросли в номинальном выражении на </w:t>
      </w:r>
      <w:r w:rsidR="005C1048">
        <w:rPr>
          <w:b/>
        </w:rPr>
        <w:t>24</w:t>
      </w:r>
      <w:r w:rsidRPr="00451ABB">
        <w:rPr>
          <w:b/>
        </w:rPr>
        <w:t xml:space="preserve">% по сравнению с </w:t>
      </w:r>
      <w:r w:rsidR="005C1048">
        <w:rPr>
          <w:b/>
        </w:rPr>
        <w:t>ноябрем</w:t>
      </w:r>
      <w:r w:rsidRPr="00451ABB">
        <w:rPr>
          <w:b/>
        </w:rPr>
        <w:t xml:space="preserve">. </w:t>
      </w:r>
      <w:r w:rsidR="005C1048">
        <w:rPr>
          <w:b/>
        </w:rPr>
        <w:t xml:space="preserve">Это самый значительный предновогодний рост за весь период наблюдений </w:t>
      </w:r>
      <w:proofErr w:type="spellStart"/>
      <w:r w:rsidR="005C1048">
        <w:rPr>
          <w:b/>
        </w:rPr>
        <w:t>Ромир</w:t>
      </w:r>
      <w:proofErr w:type="spellEnd"/>
      <w:r w:rsidR="005C1048">
        <w:rPr>
          <w:b/>
        </w:rPr>
        <w:t>. Даже в 2008-м году декабрьские расходы превысили ноябрьские «всего» на 21%</w:t>
      </w:r>
      <w:r w:rsidR="007C1274">
        <w:rPr>
          <w:b/>
        </w:rPr>
        <w:t>.</w:t>
      </w:r>
      <w:r w:rsidRPr="00451ABB">
        <w:rPr>
          <w:b/>
        </w:rPr>
        <w:t xml:space="preserve"> При этом расходы на продукты питания за месяц </w:t>
      </w:r>
      <w:r w:rsidR="007C1274">
        <w:rPr>
          <w:b/>
        </w:rPr>
        <w:t xml:space="preserve">выросли </w:t>
      </w:r>
      <w:r w:rsidRPr="00451ABB">
        <w:rPr>
          <w:b/>
        </w:rPr>
        <w:t xml:space="preserve">на </w:t>
      </w:r>
      <w:r w:rsidR="007C1274">
        <w:rPr>
          <w:b/>
        </w:rPr>
        <w:t>30</w:t>
      </w:r>
      <w:r w:rsidRPr="00451ABB">
        <w:rPr>
          <w:b/>
        </w:rPr>
        <w:t>%, а расходы на непродовольственные товары повседневного спроса выросли на 1</w:t>
      </w:r>
      <w:r w:rsidR="007C1274">
        <w:rPr>
          <w:b/>
        </w:rPr>
        <w:t>6</w:t>
      </w:r>
      <w:r w:rsidRPr="00451ABB">
        <w:rPr>
          <w:b/>
        </w:rPr>
        <w:t xml:space="preserve">%. </w:t>
      </w:r>
    </w:p>
    <w:p w:rsidR="00451ABB" w:rsidRPr="00451ABB" w:rsidRDefault="00451ABB" w:rsidP="00451ABB">
      <w:pPr>
        <w:rPr>
          <w:b/>
        </w:rPr>
      </w:pPr>
      <w:r w:rsidRPr="00451ABB">
        <w:rPr>
          <w:b/>
        </w:rPr>
        <w:t xml:space="preserve">По сравнению с </w:t>
      </w:r>
      <w:r w:rsidR="007C1274">
        <w:rPr>
          <w:b/>
        </w:rPr>
        <w:t>дека</w:t>
      </w:r>
      <w:r w:rsidRPr="00451ABB">
        <w:rPr>
          <w:b/>
        </w:rPr>
        <w:t xml:space="preserve">брем прошлого года повседневные расходы выросли в номинальном выражении на </w:t>
      </w:r>
      <w:r w:rsidR="007C1274">
        <w:rPr>
          <w:b/>
        </w:rPr>
        <w:t>15</w:t>
      </w:r>
      <w:r w:rsidRPr="00451ABB">
        <w:rPr>
          <w:b/>
        </w:rPr>
        <w:t>%, что примерно соответствует уровню продовольственной инфляции, но заметно превышает показатель инфляции непродовольственного рынка. При этом расход</w:t>
      </w:r>
      <w:r w:rsidR="007C1274">
        <w:rPr>
          <w:b/>
        </w:rPr>
        <w:t>ы на п</w:t>
      </w:r>
      <w:r w:rsidRPr="00451ABB">
        <w:rPr>
          <w:b/>
        </w:rPr>
        <w:t>о</w:t>
      </w:r>
      <w:r w:rsidR="007C1274">
        <w:rPr>
          <w:b/>
        </w:rPr>
        <w:t>купку</w:t>
      </w:r>
      <w:r w:rsidRPr="00451ABB">
        <w:rPr>
          <w:b/>
        </w:rPr>
        <w:t xml:space="preserve"> продукт</w:t>
      </w:r>
      <w:r w:rsidR="007C1274">
        <w:rPr>
          <w:b/>
        </w:rPr>
        <w:t>ов питания за год выросли на 2</w:t>
      </w:r>
      <w:r w:rsidR="005D597B">
        <w:rPr>
          <w:b/>
        </w:rPr>
        <w:t>3,</w:t>
      </w:r>
      <w:r w:rsidR="007C1274">
        <w:rPr>
          <w:b/>
        </w:rPr>
        <w:t>6%, а на</w:t>
      </w:r>
      <w:r w:rsidRPr="00451ABB">
        <w:rPr>
          <w:b/>
        </w:rPr>
        <w:t xml:space="preserve"> непродовольственные товары</w:t>
      </w:r>
      <w:r w:rsidR="007C1274">
        <w:rPr>
          <w:b/>
        </w:rPr>
        <w:t xml:space="preserve"> повс</w:t>
      </w:r>
      <w:r w:rsidR="005D597B">
        <w:rPr>
          <w:b/>
        </w:rPr>
        <w:t>едневного спроса всего лишь на 4</w:t>
      </w:r>
      <w:r w:rsidR="007C1274">
        <w:rPr>
          <w:b/>
        </w:rPr>
        <w:t>,5%</w:t>
      </w:r>
      <w:r w:rsidRPr="00451ABB">
        <w:rPr>
          <w:b/>
        </w:rPr>
        <w:t xml:space="preserve">. </w:t>
      </w:r>
    </w:p>
    <w:p w:rsidR="00451ABB" w:rsidRPr="00451ABB" w:rsidRDefault="007C4F08" w:rsidP="00451ABB">
      <w:pPr>
        <w:rPr>
          <w:b/>
        </w:rPr>
      </w:pPr>
      <w:r>
        <w:rPr>
          <w:b/>
        </w:rPr>
        <w:t>Двузначный годовой рост повседневных расходов регистрируется второй месяц подряд. В ноябре он был на уровне 12%. Но и инфляция потребительского рынка к концу года стала двузначной. Так что реальный рост повседневных расходов составил в ноябре – декабре 2014-го всего лишь 2 – 2,5%. Но в предыдущие 13 месяцев (с октября</w:t>
      </w:r>
      <w:r w:rsidR="00451ABB" w:rsidRPr="00451ABB">
        <w:rPr>
          <w:b/>
        </w:rPr>
        <w:t xml:space="preserve"> 2013-го</w:t>
      </w:r>
      <w:r>
        <w:rPr>
          <w:b/>
        </w:rPr>
        <w:t xml:space="preserve"> по октябрь 2014-го) реальные повседневные расходы сокращались на 1 – 11% в годовом выражении.</w:t>
      </w:r>
    </w:p>
    <w:p w:rsidR="00451ABB" w:rsidRPr="00451ABB" w:rsidRDefault="003713C0" w:rsidP="00451ABB">
      <w:pPr>
        <w:rPr>
          <w:b/>
        </w:rPr>
      </w:pPr>
      <w:r>
        <w:rPr>
          <w:b/>
        </w:rPr>
        <w:t xml:space="preserve">Наиболее значительный рост повседневных расходов (более 30% к ноябрю, и 16 – 19% к декабрю 2013-го) наблюдался в Москве и </w:t>
      </w:r>
      <w:r w:rsidR="00451ABB" w:rsidRPr="00451ABB">
        <w:rPr>
          <w:b/>
        </w:rPr>
        <w:t>Санкт-Петербург</w:t>
      </w:r>
      <w:r>
        <w:rPr>
          <w:b/>
        </w:rPr>
        <w:t>е. Очевидно</w:t>
      </w:r>
      <w:r w:rsidR="00C276AC">
        <w:rPr>
          <w:b/>
        </w:rPr>
        <w:t>, что</w:t>
      </w:r>
      <w:r>
        <w:rPr>
          <w:b/>
        </w:rPr>
        <w:t xml:space="preserve"> часть столичных жителей на этот раз отказались от новогодних заграничных поездок и остались праздновать дома.</w:t>
      </w:r>
      <w:r w:rsidR="00451ABB" w:rsidRPr="00451ABB">
        <w:rPr>
          <w:b/>
        </w:rPr>
        <w:t xml:space="preserve"> </w:t>
      </w:r>
      <w:r>
        <w:rPr>
          <w:b/>
        </w:rPr>
        <w:t>С</w:t>
      </w:r>
      <w:r w:rsidR="00451ABB" w:rsidRPr="00451ABB">
        <w:rPr>
          <w:b/>
        </w:rPr>
        <w:t xml:space="preserve">амые скромные </w:t>
      </w:r>
      <w:r>
        <w:rPr>
          <w:b/>
        </w:rPr>
        <w:t xml:space="preserve">«новогодние» </w:t>
      </w:r>
      <w:r w:rsidR="00451ABB" w:rsidRPr="00451ABB">
        <w:rPr>
          <w:b/>
        </w:rPr>
        <w:t>показатели</w:t>
      </w:r>
      <w:r>
        <w:rPr>
          <w:b/>
        </w:rPr>
        <w:t xml:space="preserve"> в городах – «</w:t>
      </w:r>
      <w:proofErr w:type="spellStart"/>
      <w:r>
        <w:rPr>
          <w:b/>
        </w:rPr>
        <w:t>миллионниках</w:t>
      </w:r>
      <w:proofErr w:type="spellEnd"/>
      <w:r>
        <w:rPr>
          <w:b/>
        </w:rPr>
        <w:t>»</w:t>
      </w:r>
      <w:r w:rsidR="00451ABB" w:rsidRPr="00451ABB">
        <w:rPr>
          <w:b/>
        </w:rPr>
        <w:t xml:space="preserve">.  </w:t>
      </w:r>
    </w:p>
    <w:p w:rsidR="00451ABB" w:rsidRDefault="00451ABB" w:rsidP="00451ABB">
      <w:pPr>
        <w:rPr>
          <w:b/>
        </w:rPr>
      </w:pPr>
      <w:r w:rsidRPr="00451ABB">
        <w:rPr>
          <w:b/>
        </w:rPr>
        <w:t>После продолжительного периода снижения реальных и номинальных повседневных расходов у «среднего класса» в октябре и ноябре 2014-го они выросли на 11 - 13% в номинальном  выражении</w:t>
      </w:r>
      <w:r w:rsidR="004E4F96">
        <w:rPr>
          <w:b/>
        </w:rPr>
        <w:t>, в декабре темп роста вырос до 18,5% годовых</w:t>
      </w:r>
      <w:r w:rsidRPr="00451ABB">
        <w:rPr>
          <w:b/>
        </w:rPr>
        <w:t xml:space="preserve">. Реальный, но все же рост повседневного потребления у «среднего класса» </w:t>
      </w:r>
      <w:r w:rsidR="004E4F96">
        <w:rPr>
          <w:b/>
        </w:rPr>
        <w:t xml:space="preserve">в 4-м квартале </w:t>
      </w:r>
      <w:r w:rsidRPr="00451ABB">
        <w:rPr>
          <w:b/>
        </w:rPr>
        <w:t xml:space="preserve">составил около </w:t>
      </w:r>
      <w:r w:rsidR="004E4F96">
        <w:rPr>
          <w:b/>
        </w:rPr>
        <w:t>4</w:t>
      </w:r>
      <w:r w:rsidRPr="00451ABB">
        <w:rPr>
          <w:b/>
        </w:rPr>
        <w:t>%.</w:t>
      </w:r>
      <w:r w:rsidR="004E4F96">
        <w:rPr>
          <w:b/>
        </w:rPr>
        <w:t xml:space="preserve"> </w:t>
      </w:r>
      <w:r w:rsidR="00655DF2">
        <w:rPr>
          <w:b/>
        </w:rPr>
        <w:t>«Ралли Деда Мороза» в 2014-м году в некоторой степени было связано с тем, что потребители из «среднего класса» не стали уезжать на Новый Год из дома.</w:t>
      </w:r>
    </w:p>
    <w:p w:rsidR="00CC1160" w:rsidRPr="00CC1160" w:rsidRDefault="00CC1160" w:rsidP="00CC1160">
      <w:pPr>
        <w:rPr>
          <w:b/>
        </w:rPr>
      </w:pPr>
      <w:r w:rsidRPr="00CC1160">
        <w:rPr>
          <w:b/>
        </w:rPr>
        <w:t>В декабре 2014-го года Индекс «Кофе-с-Молоком» (</w:t>
      </w:r>
      <w:proofErr w:type="gramStart"/>
      <w:r w:rsidRPr="00CC1160">
        <w:rPr>
          <w:b/>
        </w:rPr>
        <w:t>К</w:t>
      </w:r>
      <w:proofErr w:type="gramEnd"/>
      <w:r w:rsidRPr="00CC1160">
        <w:rPr>
          <w:b/>
        </w:rPr>
        <w:t xml:space="preserve"> – с – М, </w:t>
      </w:r>
      <w:proofErr w:type="spellStart"/>
      <w:r w:rsidRPr="00CC1160">
        <w:rPr>
          <w:b/>
        </w:rPr>
        <w:t>Ромир</w:t>
      </w:r>
      <w:proofErr w:type="spellEnd"/>
      <w:r w:rsidRPr="00CC1160">
        <w:rPr>
          <w:b/>
        </w:rPr>
        <w:t>) вырос на 13,5% по сравнению с ноябрем, и на 19% по сравнению с декабрем 2013-го. Это самые значительные показатели роста индекса за весь период наблюдений.</w:t>
      </w:r>
    </w:p>
    <w:p w:rsidR="00CC1160" w:rsidRPr="00CC1160" w:rsidRDefault="00CC1160" w:rsidP="00CC1160">
      <w:pPr>
        <w:rPr>
          <w:b/>
        </w:rPr>
      </w:pPr>
      <w:r w:rsidRPr="00CC1160">
        <w:rPr>
          <w:b/>
        </w:rPr>
        <w:t>За три года (с декабря 2011-го) Индекс К – с – М</w:t>
      </w:r>
      <w:proofErr w:type="gramStart"/>
      <w:r w:rsidRPr="00CC1160">
        <w:rPr>
          <w:b/>
        </w:rPr>
        <w:t xml:space="preserve"> ,</w:t>
      </w:r>
      <w:proofErr w:type="gramEnd"/>
      <w:r w:rsidRPr="00CC1160">
        <w:rPr>
          <w:b/>
        </w:rPr>
        <w:t xml:space="preserve"> </w:t>
      </w:r>
      <w:proofErr w:type="spellStart"/>
      <w:r w:rsidRPr="00CC1160">
        <w:rPr>
          <w:b/>
        </w:rPr>
        <w:t>Ромир</w:t>
      </w:r>
      <w:proofErr w:type="spellEnd"/>
      <w:r w:rsidRPr="00CC1160">
        <w:rPr>
          <w:b/>
        </w:rPr>
        <w:t xml:space="preserve"> вырос на 24,5% (в среднем – по 7,5% годового роста), немного отстав от официальной оценки (Росстат) инфляции потребительского рынка за этот период (26,5%). За шесть лет (с ноября 2008-го) Индекс</w:t>
      </w:r>
      <w:proofErr w:type="gramStart"/>
      <w:r w:rsidRPr="00CC1160">
        <w:rPr>
          <w:b/>
        </w:rPr>
        <w:t xml:space="preserve"> К</w:t>
      </w:r>
      <w:proofErr w:type="gramEnd"/>
      <w:r w:rsidRPr="00CC1160">
        <w:rPr>
          <w:b/>
        </w:rPr>
        <w:t xml:space="preserve"> – с – М   </w:t>
      </w:r>
      <w:proofErr w:type="spellStart"/>
      <w:r w:rsidRPr="00CC1160">
        <w:rPr>
          <w:b/>
        </w:rPr>
        <w:t>Ромир</w:t>
      </w:r>
      <w:proofErr w:type="spellEnd"/>
      <w:r w:rsidRPr="00CC1160">
        <w:rPr>
          <w:b/>
        </w:rPr>
        <w:t xml:space="preserve"> вырос на 68% (в среднем на 9% в год), что немного превышает оценку Росстатом общей потребительской инфляции за эти шесть лет.</w:t>
      </w:r>
    </w:p>
    <w:p w:rsidR="00CC1160" w:rsidRPr="00CC1160" w:rsidRDefault="00CC1160" w:rsidP="00CC1160">
      <w:pPr>
        <w:rPr>
          <w:b/>
        </w:rPr>
      </w:pPr>
      <w:r w:rsidRPr="00CC1160">
        <w:rPr>
          <w:b/>
        </w:rPr>
        <w:lastRenderedPageBreak/>
        <w:t>Рост индекса К-с-М в декабре 2014-го (к декабрю 2013-го) произошел благодаря росту средних реальных цен приобретения всех продуктов, входящих в Индекс. Особенно сильно – на 28% выросла цена на шоколад. А также – благодаря росту натуральных объемов покупок кофе (на 16%) и бутилированной воды (на 10%).</w:t>
      </w:r>
    </w:p>
    <w:p w:rsidR="00CC1160" w:rsidRPr="00CC1160" w:rsidRDefault="00CC1160" w:rsidP="00CC1160">
      <w:pPr>
        <w:rPr>
          <w:b/>
        </w:rPr>
      </w:pPr>
      <w:r w:rsidRPr="00CC1160">
        <w:rPr>
          <w:b/>
        </w:rPr>
        <w:t>В Москве в декабре 2014-го года наблюдался экстремально высокий рост индекса</w:t>
      </w:r>
      <w:proofErr w:type="gramStart"/>
      <w:r w:rsidRPr="00CC1160">
        <w:rPr>
          <w:b/>
        </w:rPr>
        <w:t xml:space="preserve"> К</w:t>
      </w:r>
      <w:proofErr w:type="gramEnd"/>
      <w:r w:rsidRPr="00CC1160">
        <w:rPr>
          <w:b/>
        </w:rPr>
        <w:t xml:space="preserve"> – с – М. На 16% за месяц (к ноябрю) и на 23% за год (к декабрю 2013-го). Ранее таких высоких темпов роста показателя никогда не наблюдалось. Это может быть связано с тем, что часть москвичей, которые в прошлые годы уезжали отмечать Новый Год за границу (или в другие города России) в этом году остались дома. В пользу этого говорит и рост потребления бутилированной воды и молока, особенно заметный в группе высоко обеспеченных потребителей. В других крупных городах также имел место высокий рост индекса</w:t>
      </w:r>
      <w:proofErr w:type="gramStart"/>
      <w:r w:rsidRPr="00CC1160">
        <w:rPr>
          <w:b/>
        </w:rPr>
        <w:t xml:space="preserve"> К</w:t>
      </w:r>
      <w:proofErr w:type="gramEnd"/>
      <w:r w:rsidRPr="00CC1160">
        <w:rPr>
          <w:b/>
        </w:rPr>
        <w:t xml:space="preserve"> – с – М, но чрезвычайным этот рост не является. Подобное наблюдалось и в прошлые годы (2009-й и 2010-й). </w:t>
      </w:r>
    </w:p>
    <w:p w:rsidR="00C74FFC" w:rsidRDefault="00C74FFC" w:rsidP="00C74FFC"/>
    <w:p w:rsidR="00C74FFC" w:rsidRDefault="00C74FFC" w:rsidP="00C74FFC">
      <w:r w:rsidRPr="00C74FFC">
        <w:t xml:space="preserve">В декабре 2014-го года макроэкономическая ситуация в России продолжила ухудшаться. Цена на нефть марки </w:t>
      </w:r>
      <w:proofErr w:type="spellStart"/>
      <w:r w:rsidRPr="00C74FFC">
        <w:t>Брент</w:t>
      </w:r>
      <w:proofErr w:type="spellEnd"/>
      <w:r w:rsidRPr="00C74FFC">
        <w:t xml:space="preserve"> снизилась за месяц еще на 15% и «ушла» ниже 60 долларов за баррель. Общее снижение стоимости ключевого экспортного ресурса России на мировом рынке с конца лета до конца декабря составило 42%. </w:t>
      </w:r>
      <w:r w:rsidRPr="00451ABB">
        <w:t xml:space="preserve">Такой низкой цена на нефть последний раз была </w:t>
      </w:r>
      <w:r>
        <w:t>в мае</w:t>
      </w:r>
      <w:r w:rsidRPr="00451ABB">
        <w:t xml:space="preserve"> 2009-го года. Вслед за нефтью к показателям </w:t>
      </w:r>
      <w:r>
        <w:t>весны</w:t>
      </w:r>
      <w:r w:rsidRPr="00451ABB">
        <w:t xml:space="preserve"> 2009-го откатился и российский фондовый рынок – м</w:t>
      </w:r>
      <w:r>
        <w:t>енее 8</w:t>
      </w:r>
      <w:r w:rsidRPr="00451ABB">
        <w:t xml:space="preserve">00 пунктов по индексу РТС. </w:t>
      </w:r>
    </w:p>
    <w:p w:rsidR="00C74FFC" w:rsidRDefault="00C74FFC" w:rsidP="00C74FFC">
      <w:r w:rsidRPr="00451ABB">
        <w:t xml:space="preserve">Паника на валютном рынке не </w:t>
      </w:r>
      <w:r>
        <w:t xml:space="preserve">только не </w:t>
      </w:r>
      <w:r w:rsidRPr="00451ABB">
        <w:t xml:space="preserve">прекратилась, </w:t>
      </w:r>
      <w:r>
        <w:t>но и усилилась. В середине декабря курс рубля падал до значений 80 рублей за доллар и 100 рублей за евро с последующим укреплением до 56 – 65 к</w:t>
      </w:r>
      <w:r w:rsidRPr="00451ABB">
        <w:t xml:space="preserve"> доллару и </w:t>
      </w:r>
      <w:r>
        <w:t xml:space="preserve">до 70 – 77 за </w:t>
      </w:r>
      <w:r w:rsidRPr="00451ABB">
        <w:t xml:space="preserve">евро. </w:t>
      </w:r>
      <w:r>
        <w:t>За 2014-й год</w:t>
      </w:r>
      <w:r w:rsidRPr="00451ABB">
        <w:t xml:space="preserve"> рубль обесценился к доллару </w:t>
      </w:r>
      <w:r>
        <w:t xml:space="preserve">практически в два раза, а к </w:t>
      </w:r>
      <w:r w:rsidRPr="00451ABB">
        <w:t xml:space="preserve">евро </w:t>
      </w:r>
      <w:r>
        <w:t>на 75%</w:t>
      </w:r>
      <w:r w:rsidRPr="00451ABB">
        <w:t xml:space="preserve">. </w:t>
      </w:r>
      <w:r>
        <w:t>С</w:t>
      </w:r>
      <w:r w:rsidRPr="00451ABB">
        <w:t xml:space="preserve">нижение </w:t>
      </w:r>
      <w:r>
        <w:t xml:space="preserve">курса рубля </w:t>
      </w:r>
      <w:r w:rsidRPr="00451ABB">
        <w:t xml:space="preserve">в период с </w:t>
      </w:r>
      <w:r>
        <w:t>июля</w:t>
      </w:r>
      <w:r w:rsidRPr="00451ABB">
        <w:t xml:space="preserve"> 2008-го по февраль 2009-го</w:t>
      </w:r>
      <w:r>
        <w:t xml:space="preserve"> (когда нефть подешевела в три раза) было не столь значительным</w:t>
      </w:r>
      <w:r w:rsidRPr="00451ABB">
        <w:t xml:space="preserve">. </w:t>
      </w:r>
      <w:r>
        <w:t xml:space="preserve">Тогда курс снизился </w:t>
      </w:r>
      <w:r w:rsidRPr="00451ABB">
        <w:t>с 2</w:t>
      </w:r>
      <w:r>
        <w:t>4</w:t>
      </w:r>
      <w:r w:rsidRPr="00451ABB">
        <w:t xml:space="preserve"> до 37 рублей за доллар</w:t>
      </w:r>
      <w:r>
        <w:t>, т.е. примерно в 1,5 раза.</w:t>
      </w:r>
      <w:r w:rsidRPr="00451ABB">
        <w:t xml:space="preserve"> </w:t>
      </w:r>
    </w:p>
    <w:p w:rsidR="00C74FFC" w:rsidRPr="00C74FFC" w:rsidRDefault="00C74FFC" w:rsidP="00C74FFC">
      <w:r w:rsidRPr="00C74FFC">
        <w:t>На этом неблагоприятном фоне потребительская инфляция продолжила ускоряться. Росстат признал, что по итогам года общий рост потребительских цен составил 11,4%. Рост цен на продукты питания в целом составил почти 15% в годовом выражении, а отдельные продукты подорожали даже на 20 – 50%.</w:t>
      </w:r>
    </w:p>
    <w:p w:rsidR="00C44EE4" w:rsidRPr="00451ABB" w:rsidRDefault="00C44EE4" w:rsidP="00C44EE4">
      <w:r w:rsidRPr="00451ABB">
        <w:t xml:space="preserve">Россияне в </w:t>
      </w:r>
      <w:r>
        <w:t>декабре</w:t>
      </w:r>
      <w:r w:rsidRPr="00451ABB">
        <w:t xml:space="preserve"> продолжили снимать средства со своих рублевых депозитов и конвертировать их в доллары и евро. Но, благодаря переоценке валютных депозитов общий итог сберегательного процесса остается положительным. </w:t>
      </w:r>
      <w:r>
        <w:t xml:space="preserve"> За 2014-й год объем рублевых депозитов россиян</w:t>
      </w:r>
      <w:r w:rsidRPr="00451ABB">
        <w:t xml:space="preserve"> сократилс</w:t>
      </w:r>
      <w:r>
        <w:t>я примерно</w:t>
      </w:r>
      <w:r w:rsidRPr="00451ABB">
        <w:t xml:space="preserve"> на </w:t>
      </w:r>
      <w:r>
        <w:t>4</w:t>
      </w:r>
      <w:r w:rsidRPr="00451ABB">
        <w:t xml:space="preserve">00 млрд. руб. В то время как за </w:t>
      </w:r>
      <w:r>
        <w:t xml:space="preserve">2013-й </w:t>
      </w:r>
      <w:r w:rsidRPr="00451ABB">
        <w:t>год они увеличились на два триллиона рублей. Таким образом, мы имеем дополнительный прирост наличности (в рублях, долларах и евро) у населения в размере примерно 2,5 триллион</w:t>
      </w:r>
      <w:r>
        <w:t>а</w:t>
      </w:r>
      <w:r w:rsidRPr="00451ABB">
        <w:t xml:space="preserve"> рублей. Это соответствует совокупному объему потребительских расходов за целый месяц. </w:t>
      </w:r>
    </w:p>
    <w:p w:rsidR="00C74FFC" w:rsidRPr="00C74FFC" w:rsidRDefault="00C74FFC" w:rsidP="00C74FFC">
      <w:r w:rsidRPr="00C74FFC">
        <w:t>Российские потребители в декабре продолжили конвертировать свои рублевые сбережения в доллары и евро, что создавало дополнительное давление на курс национальной валюты. Отток, а правильнее было бы сказать – прекращение притока сре</w:t>
      </w:r>
      <w:proofErr w:type="gramStart"/>
      <w:r w:rsidRPr="00C74FFC">
        <w:t>дств гр</w:t>
      </w:r>
      <w:proofErr w:type="gramEnd"/>
      <w:r w:rsidRPr="00C74FFC">
        <w:t xml:space="preserve">аждан на банковские депозиты привел к тому, что в конце декабря банки были вынуждены поднять ставки по привлечению рублевых депозитов до 15 – 22% годовых. </w:t>
      </w:r>
    </w:p>
    <w:p w:rsidR="00C74FFC" w:rsidRPr="00C74FFC" w:rsidRDefault="00C44EE4" w:rsidP="00C74FFC">
      <w:r>
        <w:lastRenderedPageBreak/>
        <w:t>Как мы и предполагали в предыдущем обзоре,</w:t>
      </w:r>
      <w:r w:rsidRPr="00451ABB">
        <w:t xml:space="preserve"> эта дополнительная наличность </w:t>
      </w:r>
      <w:r>
        <w:t xml:space="preserve">стала </w:t>
      </w:r>
      <w:r w:rsidRPr="00451ABB">
        <w:t>«давит</w:t>
      </w:r>
      <w:r>
        <w:t>ь</w:t>
      </w:r>
      <w:r w:rsidRPr="00451ABB">
        <w:t xml:space="preserve">» </w:t>
      </w:r>
      <w:r>
        <w:t xml:space="preserve"> не только </w:t>
      </w:r>
      <w:r w:rsidRPr="00451ABB">
        <w:t>на рынок наличной иностранной валюты</w:t>
      </w:r>
      <w:r>
        <w:t>, но и на рынки товаров длительного пользования</w:t>
      </w:r>
      <w:r w:rsidRPr="00451ABB">
        <w:t xml:space="preserve">. </w:t>
      </w:r>
      <w:r w:rsidR="00C74FFC" w:rsidRPr="00C74FFC">
        <w:t xml:space="preserve"> В частности – на легковые автомобили и бытовую технику. Продажи на авторынке в декабре не только перестали падать, но и выросли. За месяц было продано 270 тысяч легковых и легких коммерческих автомобилей, что на 2,5% превышает показатель продаж декабря 2013-го года. Тогда как еще в октябре снижение продаж на авторынке составляло 10%, а в 3-м квартале – более 20% по сравнению с 3-м кварталом 2013-го года. Общий итог продаж 2014-го года – снижение реализации легковых автомобилей на 10% в штуках по сравнению с 2013-м годом, при сохранении рублевой выручки на уровне предыдущего года. Валютная выручка в связи со снижением курса рубля, естественно снизилась примерно на 20%.</w:t>
      </w:r>
    </w:p>
    <w:p w:rsidR="00C74FFC" w:rsidRPr="00C74FFC" w:rsidRDefault="00C74FFC" w:rsidP="00C74FFC">
      <w:r w:rsidRPr="00C74FFC">
        <w:t xml:space="preserve">В декабре 2014-го года случился настоящий (правда </w:t>
      </w:r>
      <w:r w:rsidR="00C44EE4">
        <w:t xml:space="preserve">- </w:t>
      </w:r>
      <w:r w:rsidRPr="00C74FFC">
        <w:t>краткосрочный) бум на рынке крупной бытовой техники</w:t>
      </w:r>
      <w:r w:rsidR="00C44EE4">
        <w:t>, в</w:t>
      </w:r>
      <w:r w:rsidR="00C44EE4">
        <w:t xml:space="preserve"> результате ажиотажного спроса</w:t>
      </w:r>
      <w:proofErr w:type="gramStart"/>
      <w:r w:rsidR="00C44EE4">
        <w:t>.</w:t>
      </w:r>
      <w:proofErr w:type="gramEnd"/>
      <w:r w:rsidR="00C44EE4">
        <w:t xml:space="preserve"> </w:t>
      </w:r>
      <w:r w:rsidR="00C44EE4">
        <w:t>З</w:t>
      </w:r>
      <w:r w:rsidR="00C44EE4">
        <w:t xml:space="preserve">а две недели были распроданы некоторые товары (например – кофе-машины) не находившие своего покупателя </w:t>
      </w:r>
      <w:proofErr w:type="gramStart"/>
      <w:r w:rsidR="00C44EE4">
        <w:t>в</w:t>
      </w:r>
      <w:proofErr w:type="gramEnd"/>
      <w:r w:rsidR="00C44EE4">
        <w:t xml:space="preserve"> предыдущие 11 месяцев. </w:t>
      </w:r>
      <w:r w:rsidRPr="00C74FFC">
        <w:t xml:space="preserve"> Так, продажи одного из лидеров рынка – торговой сети «М-Видео» в декабре 2014-го выросли по сравнению с декабрем 2013-го на 73%. Рост продаж в 4-м квартале 2014-го составил в этой торговой сети 52%. Тогда как за первые 9 месяцев 2014-го рост реализации продукции в «М-Видео» составил символические 3%; да и те были достигнуты за счет открытия или присоединения к сети новых магазинов.</w:t>
      </w:r>
    </w:p>
    <w:p w:rsidR="00451ABB" w:rsidRPr="00451ABB" w:rsidRDefault="00132467" w:rsidP="00451ABB">
      <w:r>
        <w:t xml:space="preserve">Все это </w:t>
      </w:r>
      <w:r w:rsidR="00451ABB" w:rsidRPr="00451ABB">
        <w:t>созда</w:t>
      </w:r>
      <w:r>
        <w:t>ет</w:t>
      </w:r>
      <w:r w:rsidR="00451ABB" w:rsidRPr="00451ABB">
        <w:t xml:space="preserve"> предпосылки для резкого роста цен, формирования диспропорций спроса и предложения и даже локальных дефицитов. И в число первоочередных задач Правительства и Центрального Банка в сложившихся условиях</w:t>
      </w:r>
      <w:r>
        <w:t>,</w:t>
      </w:r>
      <w:r w:rsidR="00451ABB" w:rsidRPr="00451ABB">
        <w:t xml:space="preserve"> на наш скромный взгляд</w:t>
      </w:r>
      <w:r>
        <w:t>,</w:t>
      </w:r>
      <w:r w:rsidR="00451ABB" w:rsidRPr="00451ABB">
        <w:t xml:space="preserve"> не может не входить «успокоение» валютного рынка и восстановление нормального процесса формирования банковских сбережений частными лицами.</w:t>
      </w:r>
    </w:p>
    <w:p w:rsidR="00C44EE4" w:rsidRDefault="00C44EE4" w:rsidP="00451ABB"/>
    <w:p w:rsidR="00C44EE4" w:rsidRPr="00C44EE4" w:rsidRDefault="00C44EE4" w:rsidP="00451ABB">
      <w:pPr>
        <w:rPr>
          <w:sz w:val="28"/>
          <w:szCs w:val="28"/>
        </w:rPr>
      </w:pPr>
      <w:r w:rsidRPr="00C44EE4">
        <w:rPr>
          <w:sz w:val="28"/>
          <w:szCs w:val="28"/>
        </w:rPr>
        <w:t>Повседневные расходы</w:t>
      </w:r>
    </w:p>
    <w:p w:rsidR="00451ABB" w:rsidRPr="00451ABB" w:rsidRDefault="00451ABB" w:rsidP="00451ABB">
      <w:r w:rsidRPr="00451ABB">
        <w:t xml:space="preserve">По данным исследовательского холдинга </w:t>
      </w:r>
      <w:proofErr w:type="spellStart"/>
      <w:r w:rsidRPr="00451ABB">
        <w:t>Ромир</w:t>
      </w:r>
      <w:proofErr w:type="spellEnd"/>
      <w:r w:rsidRPr="00451ABB">
        <w:t xml:space="preserve">, полученным  по технологии непрерывного сканирования покупок в домашних хозяйствах – </w:t>
      </w:r>
      <w:r w:rsidRPr="00451ABB">
        <w:rPr>
          <w:b/>
        </w:rPr>
        <w:t>см. Справку</w:t>
      </w:r>
      <w:r w:rsidRPr="00451ABB">
        <w:t xml:space="preserve"> – в </w:t>
      </w:r>
      <w:r w:rsidR="00132467">
        <w:t>декабре</w:t>
      </w:r>
      <w:r w:rsidRPr="00451ABB">
        <w:t xml:space="preserve"> 2014-го года повседневные потребительские расходы выросли в номинальном выражении на </w:t>
      </w:r>
      <w:r w:rsidR="00132467">
        <w:t>24</w:t>
      </w:r>
      <w:r w:rsidRPr="00451ABB">
        <w:t xml:space="preserve">% по сравнению с </w:t>
      </w:r>
      <w:r w:rsidR="00132467">
        <w:t>ноябрем</w:t>
      </w:r>
      <w:r w:rsidRPr="00451ABB">
        <w:t xml:space="preserve">. </w:t>
      </w:r>
      <w:r w:rsidR="00132467">
        <w:t xml:space="preserve">Это самый высокий предновогодний рост за весь период наблюдений </w:t>
      </w:r>
      <w:proofErr w:type="spellStart"/>
      <w:r w:rsidR="00132467">
        <w:t>Ромир</w:t>
      </w:r>
      <w:proofErr w:type="spellEnd"/>
      <w:r w:rsidR="00132467">
        <w:t xml:space="preserve">. В 2013 и 2012 гг. декабрьский рост составлял только 20% к ноябрю. </w:t>
      </w:r>
      <w:proofErr w:type="gramStart"/>
      <w:r w:rsidR="00132467">
        <w:t>В 2011-м году</w:t>
      </w:r>
      <w:r w:rsidR="00826153">
        <w:t xml:space="preserve"> декабрьское «ралли деда Мороза» и вовсе ограничилось скромными 14%. И даже в 2008-м году декабрьский рост составил только 21% к ноябрю 2008-го.</w:t>
      </w:r>
      <w:proofErr w:type="gramEnd"/>
      <w:r w:rsidR="00826153">
        <w:t xml:space="preserve"> </w:t>
      </w:r>
      <w:r w:rsidRPr="00451ABB">
        <w:t xml:space="preserve">При этом расходы на продукты питания в </w:t>
      </w:r>
      <w:r w:rsidR="00826153">
        <w:t>декабре выросли</w:t>
      </w:r>
      <w:r w:rsidRPr="00451ABB">
        <w:t xml:space="preserve"> по сравнению с </w:t>
      </w:r>
      <w:r w:rsidR="00826153">
        <w:t>ноябрем на 30%</w:t>
      </w:r>
      <w:r w:rsidRPr="00451ABB">
        <w:t>, а расходы на непродовольственные товары повседневного спроса на 1</w:t>
      </w:r>
      <w:r w:rsidR="00826153">
        <w:t>6</w:t>
      </w:r>
      <w:r w:rsidRPr="00451ABB">
        <w:t xml:space="preserve">%. </w:t>
      </w:r>
      <w:r w:rsidR="00826153">
        <w:t>Естественно приобретение автомобилей, телевизоров и кофе-машин в повседневных расходах нами не учитывалось.</w:t>
      </w:r>
    </w:p>
    <w:p w:rsidR="00C44EE4" w:rsidRDefault="00451ABB" w:rsidP="00451ABB">
      <w:r w:rsidRPr="00451ABB">
        <w:t xml:space="preserve">По сравнению с </w:t>
      </w:r>
      <w:r w:rsidR="00826153">
        <w:t>декабрем</w:t>
      </w:r>
      <w:r w:rsidRPr="00451ABB">
        <w:t xml:space="preserve"> прошлого года повседневные расходы выросли в номинальном выражении на </w:t>
      </w:r>
      <w:r w:rsidR="00826153">
        <w:t>15</w:t>
      </w:r>
      <w:r w:rsidRPr="00451ABB">
        <w:t xml:space="preserve">%, что примерно соответствует уровню инфляции продовольственного рынка. Но </w:t>
      </w:r>
      <w:r w:rsidR="00826153">
        <w:t>немного</w:t>
      </w:r>
      <w:r w:rsidRPr="00451ABB">
        <w:t xml:space="preserve"> превышает уровень общей потребительской инфляции, оцениваемый Росстатом в </w:t>
      </w:r>
      <w:r w:rsidR="00826153">
        <w:t>11,4</w:t>
      </w:r>
      <w:r w:rsidRPr="00451ABB">
        <w:t xml:space="preserve">% в годовом выражении. </w:t>
      </w:r>
      <w:proofErr w:type="gramStart"/>
      <w:r w:rsidRPr="00451ABB">
        <w:t xml:space="preserve">Таким образом, реальные повседневные расходы в </w:t>
      </w:r>
      <w:r w:rsidR="005D597B">
        <w:t>дек</w:t>
      </w:r>
      <w:r w:rsidR="00826153">
        <w:t>абре</w:t>
      </w:r>
      <w:r w:rsidRPr="00451ABB">
        <w:t xml:space="preserve"> 2014-го оказались выше расходов </w:t>
      </w:r>
      <w:r w:rsidR="00826153">
        <w:t>декабря</w:t>
      </w:r>
      <w:r w:rsidRPr="00451ABB">
        <w:t xml:space="preserve"> 2013-го года на значимые </w:t>
      </w:r>
      <w:r w:rsidR="00826153">
        <w:t xml:space="preserve">2 – </w:t>
      </w:r>
      <w:r w:rsidRPr="00451ABB">
        <w:t xml:space="preserve">2,5%. Рост реальных повседневных расходов в годовом выражении </w:t>
      </w:r>
      <w:proofErr w:type="spellStart"/>
      <w:r w:rsidRPr="00451ABB">
        <w:t>Ромир</w:t>
      </w:r>
      <w:proofErr w:type="spellEnd"/>
      <w:r w:rsidRPr="00451ABB">
        <w:t xml:space="preserve"> фиксирует в</w:t>
      </w:r>
      <w:r w:rsidR="00826153">
        <w:t>торой месяц подряд.</w:t>
      </w:r>
      <w:r w:rsidRPr="00451ABB">
        <w:t xml:space="preserve"> </w:t>
      </w:r>
      <w:proofErr w:type="gramEnd"/>
    </w:p>
    <w:p w:rsidR="00451ABB" w:rsidRPr="00451ABB" w:rsidRDefault="00451ABB" w:rsidP="00451ABB">
      <w:r w:rsidRPr="00451ABB">
        <w:lastRenderedPageBreak/>
        <w:t xml:space="preserve">Последний раз такое было в </w:t>
      </w:r>
      <w:r w:rsidR="00826153">
        <w:t>августе-</w:t>
      </w:r>
      <w:r w:rsidRPr="00451ABB">
        <w:t xml:space="preserve">сентябре 2013-го года. С октября 2013-го по апрель 2014-го и в сентябре 2014-го наблюдалось снижение номинальных повседневных расходов на 1 – 4%, а реальных – на 7 – 11% в годовом выражении. С мая по июль 2014-го имел место небольшой (4 – 6%) номинальный рост повседневных расходов. С поправкой на инфляцию в эти месяцы можно было говорить о снижении реального объема повседневного потребления в пределах 1,5 – 3%. </w:t>
      </w:r>
      <w:r w:rsidRPr="00451ABB">
        <w:rPr>
          <w:b/>
        </w:rPr>
        <w:t>См. Диаграмму 1</w:t>
      </w:r>
      <w:r w:rsidRPr="00451ABB">
        <w:t>.</w:t>
      </w:r>
    </w:p>
    <w:p w:rsidR="00451ABB" w:rsidRPr="00451ABB" w:rsidRDefault="00451ABB" w:rsidP="00451ABB">
      <w:pPr>
        <w:rPr>
          <w:b/>
        </w:rPr>
      </w:pPr>
      <w:r w:rsidRPr="00451ABB">
        <w:rPr>
          <w:b/>
        </w:rPr>
        <w:t xml:space="preserve">Диаграмма 1. Номинальные и реальные темпы роста повседневных расходов в январе – </w:t>
      </w:r>
      <w:r>
        <w:rPr>
          <w:b/>
        </w:rPr>
        <w:t>декабре</w:t>
      </w:r>
      <w:r w:rsidRPr="00451ABB">
        <w:rPr>
          <w:b/>
        </w:rPr>
        <w:t xml:space="preserve"> 2014-го года. </w:t>
      </w:r>
      <w:proofErr w:type="gramStart"/>
      <w:r w:rsidRPr="00451ABB">
        <w:rPr>
          <w:b/>
        </w:rPr>
        <w:t>В</w:t>
      </w:r>
      <w:proofErr w:type="gramEnd"/>
      <w:r w:rsidRPr="00451ABB">
        <w:rPr>
          <w:b/>
        </w:rPr>
        <w:t xml:space="preserve"> % к соответствующему месяцу 2013-го года.</w:t>
      </w:r>
    </w:p>
    <w:p w:rsidR="00451ABB" w:rsidRPr="00451ABB" w:rsidRDefault="00451ABB" w:rsidP="00451ABB">
      <w:r w:rsidRPr="00451ABB">
        <w:rPr>
          <w:noProof/>
          <w:lang w:eastAsia="ru-RU"/>
        </w:rPr>
        <w:drawing>
          <wp:inline distT="0" distB="0" distL="0" distR="0" wp14:anchorId="11FFDBF1" wp14:editId="1FA56E44">
            <wp:extent cx="5486400" cy="2054352"/>
            <wp:effectExtent l="0" t="0" r="1905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1ABB" w:rsidRPr="00451ABB" w:rsidRDefault="00451ABB" w:rsidP="00451ABB">
      <w:pPr>
        <w:rPr>
          <w:b/>
        </w:rPr>
      </w:pPr>
      <w:r w:rsidRPr="00451ABB">
        <w:rPr>
          <w:b/>
        </w:rPr>
        <w:t xml:space="preserve">Источник - </w:t>
      </w:r>
      <w:proofErr w:type="spellStart"/>
      <w:r w:rsidRPr="00451ABB">
        <w:rPr>
          <w:b/>
        </w:rPr>
        <w:t>Ромир</w:t>
      </w:r>
      <w:proofErr w:type="spellEnd"/>
    </w:p>
    <w:p w:rsidR="00451ABB" w:rsidRPr="00451ABB" w:rsidRDefault="00451ABB" w:rsidP="00451ABB">
      <w:r w:rsidRPr="00451ABB">
        <w:t>Коль скоро мы уже несколько раз вспоминали 2009-</w:t>
      </w:r>
      <w:r w:rsidR="005D597B">
        <w:t>й</w:t>
      </w:r>
      <w:r w:rsidRPr="00451ABB">
        <w:t xml:space="preserve"> год в связи с другими экономическими показателями, </w:t>
      </w:r>
      <w:proofErr w:type="gramStart"/>
      <w:r w:rsidRPr="00451ABB">
        <w:t>наверное</w:t>
      </w:r>
      <w:proofErr w:type="gramEnd"/>
      <w:r w:rsidRPr="00451ABB">
        <w:t xml:space="preserve"> будет уместным напомнить, что в тот период </w:t>
      </w:r>
      <w:proofErr w:type="spellStart"/>
      <w:r w:rsidRPr="00451ABB">
        <w:t>Ромир</w:t>
      </w:r>
      <w:proofErr w:type="spellEnd"/>
      <w:r w:rsidRPr="00451ABB">
        <w:t xml:space="preserve"> наблюдал устойчивый номинальный рост повседневных расходов на 21 – 28% (месяц к месяцу предыдущего года) на фоне потребительской инфляции в </w:t>
      </w:r>
      <w:r w:rsidR="005D597B">
        <w:t>8</w:t>
      </w:r>
      <w:r w:rsidRPr="00451ABB">
        <w:t xml:space="preserve"> – 1</w:t>
      </w:r>
      <w:r w:rsidR="005D597B">
        <w:t>0</w:t>
      </w:r>
      <w:r w:rsidRPr="00451ABB">
        <w:t>% годовых. Так что аналогии с 2009-м годом на рынках товаров повседневного спроса пока не очень просматриваются.</w:t>
      </w:r>
    </w:p>
    <w:p w:rsidR="00C44EE4" w:rsidRDefault="00C44EE4" w:rsidP="00451ABB">
      <w:pPr>
        <w:rPr>
          <w:b/>
          <w:sz w:val="24"/>
          <w:szCs w:val="24"/>
          <w:u w:val="single"/>
        </w:rPr>
      </w:pPr>
    </w:p>
    <w:p w:rsidR="00451ABB" w:rsidRPr="005D597B" w:rsidRDefault="00451ABB" w:rsidP="00451ABB">
      <w:pPr>
        <w:rPr>
          <w:b/>
          <w:sz w:val="24"/>
          <w:szCs w:val="24"/>
          <w:u w:val="single"/>
        </w:rPr>
      </w:pPr>
      <w:r w:rsidRPr="005D597B">
        <w:rPr>
          <w:b/>
          <w:sz w:val="24"/>
          <w:szCs w:val="24"/>
          <w:u w:val="single"/>
        </w:rPr>
        <w:t>Доля продовольствия</w:t>
      </w:r>
    </w:p>
    <w:p w:rsidR="00451ABB" w:rsidRPr="00451ABB" w:rsidRDefault="00451ABB" w:rsidP="00451ABB">
      <w:r w:rsidRPr="00451ABB">
        <w:t xml:space="preserve">В </w:t>
      </w:r>
      <w:r w:rsidR="005D597B">
        <w:t>декабре</w:t>
      </w:r>
      <w:r w:rsidRPr="00451ABB">
        <w:t xml:space="preserve"> 2014-го доля продуктов питания в общем объеме потребления повседневных товаров (</w:t>
      </w:r>
      <w:r w:rsidRPr="00451ABB">
        <w:rPr>
          <w:b/>
        </w:rPr>
        <w:t>без учета услуг и крупных покупок</w:t>
      </w:r>
      <w:r w:rsidRPr="00451ABB">
        <w:t xml:space="preserve">) </w:t>
      </w:r>
      <w:r w:rsidR="005D597B">
        <w:t>выросла</w:t>
      </w:r>
      <w:r w:rsidRPr="00451ABB">
        <w:t xml:space="preserve"> по сравнению с показателем </w:t>
      </w:r>
      <w:r w:rsidR="005D597B">
        <w:t>ноября</w:t>
      </w:r>
      <w:r w:rsidRPr="00451ABB">
        <w:t xml:space="preserve"> на </w:t>
      </w:r>
      <w:r w:rsidR="005D597B">
        <w:t>три</w:t>
      </w:r>
      <w:r w:rsidRPr="00451ABB">
        <w:t xml:space="preserve"> процентных пункт</w:t>
      </w:r>
      <w:r w:rsidR="005D597B">
        <w:t>а</w:t>
      </w:r>
      <w:r w:rsidRPr="00451ABB">
        <w:t xml:space="preserve"> и составила </w:t>
      </w:r>
      <w:r w:rsidR="005D597B">
        <w:t>59</w:t>
      </w:r>
      <w:r w:rsidRPr="00451ABB">
        <w:t xml:space="preserve">% от общего объема расходов. Доля непродовольственных товаров повседневного спроса </w:t>
      </w:r>
      <w:r w:rsidR="005D597B">
        <w:t>снизилась</w:t>
      </w:r>
      <w:r w:rsidRPr="00451ABB">
        <w:t xml:space="preserve"> до </w:t>
      </w:r>
      <w:r w:rsidR="005D597B">
        <w:t>41</w:t>
      </w:r>
      <w:r w:rsidRPr="00451ABB">
        <w:t xml:space="preserve">% общего объема повседневных расходов. С учетом изменения структуры потребления получается, что расходы на продукты питания за месяц </w:t>
      </w:r>
      <w:r w:rsidR="005D597B">
        <w:t>выросли</w:t>
      </w:r>
      <w:r w:rsidRPr="00451ABB">
        <w:t xml:space="preserve"> на </w:t>
      </w:r>
      <w:r w:rsidR="005D597B">
        <w:t>30</w:t>
      </w:r>
      <w:r w:rsidRPr="00451ABB">
        <w:t>% в номинальном выражении, а расходы на непродовольственные товары повсед</w:t>
      </w:r>
      <w:r w:rsidR="005D597B">
        <w:t>невного спроса увеличились на 16</w:t>
      </w:r>
      <w:r w:rsidRPr="00451ABB">
        <w:t xml:space="preserve">%. </w:t>
      </w:r>
    </w:p>
    <w:p w:rsidR="00C44EE4" w:rsidRDefault="00451ABB" w:rsidP="00451ABB">
      <w:r w:rsidRPr="00451ABB">
        <w:t xml:space="preserve">По сравнению с </w:t>
      </w:r>
      <w:r w:rsidR="005D597B">
        <w:t>декабрем</w:t>
      </w:r>
      <w:r w:rsidRPr="00451ABB">
        <w:t xml:space="preserve"> 2013-го дол</w:t>
      </w:r>
      <w:r w:rsidR="005D597B">
        <w:t>я</w:t>
      </w:r>
      <w:r w:rsidRPr="00451ABB">
        <w:t xml:space="preserve"> продуктов питания </w:t>
      </w:r>
      <w:r w:rsidR="005D597B">
        <w:t>выросла на четыре процентных пункта (до 59%),</w:t>
      </w:r>
      <w:r w:rsidRPr="00451ABB">
        <w:t xml:space="preserve"> непродовольственных товаров </w:t>
      </w:r>
      <w:r w:rsidR="005D597B">
        <w:t xml:space="preserve">– снизилась до 41% от </w:t>
      </w:r>
      <w:r w:rsidRPr="00451ABB">
        <w:t>повседневн</w:t>
      </w:r>
      <w:r w:rsidR="005D597B">
        <w:t>ых расходов</w:t>
      </w:r>
      <w:r w:rsidRPr="00451ABB">
        <w:t xml:space="preserve">. </w:t>
      </w:r>
      <w:r w:rsidR="005D597B">
        <w:t>В</w:t>
      </w:r>
      <w:r w:rsidRPr="00451ABB">
        <w:t xml:space="preserve"> годовом выражении </w:t>
      </w:r>
      <w:r w:rsidR="005D597B">
        <w:t xml:space="preserve">расходы на продукты питания выросли в декабре 2014-го на 23,6%, значимо обогнав инфляцию продуктового рынка (около 15% </w:t>
      </w:r>
      <w:proofErr w:type="gramStart"/>
      <w:r w:rsidR="005D597B">
        <w:t>годовых</w:t>
      </w:r>
      <w:proofErr w:type="gramEnd"/>
      <w:r w:rsidR="005D597B">
        <w:t>)</w:t>
      </w:r>
      <w:r w:rsidR="006A10CF">
        <w:t xml:space="preserve">. Расходы на непродовольственные товары увеличились за год на скромные 4,5%, отстав от непродовольственной </w:t>
      </w:r>
      <w:proofErr w:type="gramStart"/>
      <w:r w:rsidR="006A10CF">
        <w:t>инфляции</w:t>
      </w:r>
      <w:proofErr w:type="gramEnd"/>
      <w:r w:rsidR="006A10CF">
        <w:t xml:space="preserve"> по крайней мере в два раза. Такое стало возможным благодаря жесткой оптимизации непродовольственных повседневных расходов российскими потребителями. А вот на продуктах (в </w:t>
      </w:r>
      <w:proofErr w:type="spellStart"/>
      <w:r w:rsidR="006A10CF">
        <w:t>т.ч</w:t>
      </w:r>
      <w:proofErr w:type="spellEnd"/>
      <w:r w:rsidR="006A10CF">
        <w:t xml:space="preserve">. – к праздничному столу) россияне в декабре 2014-го решили не экономить. </w:t>
      </w:r>
    </w:p>
    <w:p w:rsidR="00451ABB" w:rsidRPr="00451ABB" w:rsidRDefault="006A10CF" w:rsidP="00451ABB">
      <w:proofErr w:type="gramStart"/>
      <w:r>
        <w:lastRenderedPageBreak/>
        <w:t>Возможно</w:t>
      </w:r>
      <w:proofErr w:type="gramEnd"/>
      <w:r>
        <w:t xml:space="preserve"> на рост расходов на продукты питания в декабре 2014-го оказал влияние такой фактор как сокращение новогодних зарубежных поездок. Те, кто остался праздновать Новый Год дома постарались собрать «богатый» новогодний стол.</w:t>
      </w:r>
    </w:p>
    <w:p w:rsidR="003713C0" w:rsidRDefault="003713C0" w:rsidP="00451ABB">
      <w:pPr>
        <w:rPr>
          <w:b/>
          <w:sz w:val="24"/>
          <w:szCs w:val="24"/>
          <w:u w:val="single"/>
        </w:rPr>
      </w:pPr>
    </w:p>
    <w:p w:rsidR="00451ABB" w:rsidRPr="006A10CF" w:rsidRDefault="00451ABB" w:rsidP="00451ABB">
      <w:pPr>
        <w:rPr>
          <w:b/>
          <w:sz w:val="24"/>
          <w:szCs w:val="24"/>
          <w:u w:val="single"/>
        </w:rPr>
      </w:pPr>
      <w:r w:rsidRPr="006A10CF">
        <w:rPr>
          <w:b/>
          <w:sz w:val="24"/>
          <w:szCs w:val="24"/>
          <w:u w:val="single"/>
        </w:rPr>
        <w:t>Города</w:t>
      </w:r>
    </w:p>
    <w:p w:rsidR="00451ABB" w:rsidRPr="00451ABB" w:rsidRDefault="00451ABB" w:rsidP="00451ABB">
      <w:r w:rsidRPr="00451ABB">
        <w:t xml:space="preserve">В Москве индекс потребительской активности в </w:t>
      </w:r>
      <w:r w:rsidR="0027527F">
        <w:t>декабре</w:t>
      </w:r>
      <w:r w:rsidRPr="00451ABB">
        <w:t xml:space="preserve"> вырос </w:t>
      </w:r>
      <w:r w:rsidR="0027527F">
        <w:t>на 34</w:t>
      </w:r>
      <w:r w:rsidRPr="00451ABB">
        <w:t xml:space="preserve">% по сравнению с </w:t>
      </w:r>
      <w:r w:rsidR="0027527F">
        <w:t>ноябрем. Такой же рост был в декабре 2008-го года. А вот в остальные годы он никогда не превышал 25%, а в 2011-м году даже составил скромные 16%. П</w:t>
      </w:r>
      <w:r w:rsidRPr="00451ABB">
        <w:t xml:space="preserve">о сравнению с </w:t>
      </w:r>
      <w:r w:rsidR="0027527F">
        <w:t>декабрем 2013-го</w:t>
      </w:r>
      <w:r w:rsidRPr="00451ABB">
        <w:t xml:space="preserve"> года</w:t>
      </w:r>
      <w:r w:rsidR="0027527F">
        <w:t xml:space="preserve"> повседневные расходы в Москве выросли на </w:t>
      </w:r>
      <w:r w:rsidR="00F61858">
        <w:t>19,5%, значимо превысив потребительскую инфляцию</w:t>
      </w:r>
      <w:r w:rsidRPr="00451ABB">
        <w:t xml:space="preserve">. </w:t>
      </w:r>
      <w:r w:rsidR="00F61858">
        <w:t xml:space="preserve">Но вот за два года (с декабря 2012-го) рост повседневного потребления в Москве составил только 16%, что ниже потребительской инфляции за два года. </w:t>
      </w:r>
      <w:r w:rsidRPr="00451ABB">
        <w:t>За три года (с ноября 2011-го) номинальный ро</w:t>
      </w:r>
      <w:r w:rsidR="00F61858">
        <w:t>ст расходов в Москве составил 42</w:t>
      </w:r>
      <w:r w:rsidRPr="00451ABB">
        <w:t xml:space="preserve">%, что </w:t>
      </w:r>
      <w:r w:rsidR="00F61858">
        <w:t>более чем в 1,5 раза превышает показатель общей</w:t>
      </w:r>
      <w:r w:rsidRPr="00451ABB">
        <w:t xml:space="preserve"> инфляции потребительского рынка, накопленной за этот период</w:t>
      </w:r>
      <w:r w:rsidR="00F61858">
        <w:t xml:space="preserve"> (26%)</w:t>
      </w:r>
      <w:r w:rsidRPr="00451ABB">
        <w:t>.</w:t>
      </w:r>
      <w:r w:rsidR="00F61858">
        <w:t xml:space="preserve"> Значительный рост повседневных расходов в Москве в декабре 2014-го поддерживает нашу гипотезу о том, что часть москвичей отказались от заграничных новогодних поездок и остались праздновать Новый Год дома.</w:t>
      </w:r>
    </w:p>
    <w:p w:rsidR="00451ABB" w:rsidRPr="00451ABB" w:rsidRDefault="00451ABB" w:rsidP="00451ABB">
      <w:r w:rsidRPr="00451ABB">
        <w:t xml:space="preserve">В Санкт-Петербурге повседневные расходы в </w:t>
      </w:r>
      <w:r w:rsidR="00E35EDF">
        <w:t xml:space="preserve">декабре 2014-го выросли по сравнению </w:t>
      </w:r>
      <w:r w:rsidRPr="00451ABB">
        <w:t>ноябре</w:t>
      </w:r>
      <w:r w:rsidR="00E35EDF">
        <w:t>м на 31,3%. Это самый значительный предновогодний рост за весь период наблюдений. В 2012-м и 2008-м гг. декабрьский рост был на уровне 26%. В остальные годы – ниже. Как мы и предполагали в предыдущем обзоре,</w:t>
      </w:r>
      <w:r w:rsidRPr="00451ABB">
        <w:t xml:space="preserve"> ноябрьское «торможение»</w:t>
      </w:r>
      <w:r w:rsidR="00E35EDF">
        <w:t xml:space="preserve"> повседневных расходов в северной столице</w:t>
      </w:r>
      <w:r w:rsidRPr="00451ABB">
        <w:t xml:space="preserve"> можно </w:t>
      </w:r>
      <w:r w:rsidR="00E35EDF">
        <w:t xml:space="preserve">было </w:t>
      </w:r>
      <w:r w:rsidRPr="00451ABB">
        <w:t xml:space="preserve">считать «предновогодней паузой». </w:t>
      </w:r>
      <w:r w:rsidR="00E35EDF">
        <w:t xml:space="preserve">По сравнению с декабрем 2013-го года повседневные расходы в Петербурге выросли на 15%. Это немного выше уровня общей потребительской инфляции. </w:t>
      </w:r>
      <w:r w:rsidRPr="00451ABB">
        <w:t xml:space="preserve">За три года (с </w:t>
      </w:r>
      <w:r w:rsidR="00E35EDF">
        <w:t>декабря</w:t>
      </w:r>
      <w:r w:rsidRPr="00451ABB">
        <w:t xml:space="preserve"> 2011-го) номинальный рост расходов в Петербурге составил </w:t>
      </w:r>
      <w:r w:rsidR="00E35EDF">
        <w:t>43</w:t>
      </w:r>
      <w:r w:rsidR="00E35EDF" w:rsidRPr="00451ABB">
        <w:t xml:space="preserve">%, что </w:t>
      </w:r>
      <w:r w:rsidR="00E35EDF">
        <w:t>более чем в 1,5 раза превышает показатель общей</w:t>
      </w:r>
      <w:r w:rsidR="00E35EDF" w:rsidRPr="00451ABB">
        <w:t xml:space="preserve"> инфляции потребительского рынка, накопленной за этот период</w:t>
      </w:r>
      <w:r w:rsidR="00E35EDF">
        <w:t xml:space="preserve"> (26%)</w:t>
      </w:r>
      <w:r w:rsidR="00E35EDF" w:rsidRPr="00451ABB">
        <w:t>.</w:t>
      </w:r>
      <w:r w:rsidR="00E35EDF">
        <w:t xml:space="preserve"> Видимо часть петербуржцев не поехали праздновать Новый год в Финляндию, как они это делали в прошлые годы</w:t>
      </w:r>
      <w:r w:rsidRPr="00451ABB">
        <w:t>.</w:t>
      </w:r>
    </w:p>
    <w:p w:rsidR="00451ABB" w:rsidRPr="00451ABB" w:rsidRDefault="00451ABB" w:rsidP="00451ABB">
      <w:r w:rsidRPr="00451ABB">
        <w:t xml:space="preserve">В городах с населением 1 – 1,5 миллиона жителей повседневное потребление в </w:t>
      </w:r>
      <w:r w:rsidR="00E35EDF">
        <w:t>декабре выросло по сравнению с ноябрем на 23%. И это тоже самый высокий рост за весь период наблюдений</w:t>
      </w:r>
      <w:r w:rsidRPr="00451ABB">
        <w:t>.</w:t>
      </w:r>
      <w:r w:rsidR="00E35EDF">
        <w:t xml:space="preserve"> Обычно «новогоднее ралли» ограничивалось ростом на 15 – 19%.</w:t>
      </w:r>
      <w:r w:rsidRPr="00451ABB">
        <w:t xml:space="preserve"> За год повседневные рас</w:t>
      </w:r>
      <w:r w:rsidR="000744DB">
        <w:t xml:space="preserve">ходы в </w:t>
      </w:r>
      <w:proofErr w:type="spellStart"/>
      <w:r w:rsidR="000744DB">
        <w:t>миллионниках</w:t>
      </w:r>
      <w:proofErr w:type="spellEnd"/>
      <w:r w:rsidR="000744DB">
        <w:t xml:space="preserve"> выросли на 11,3</w:t>
      </w:r>
      <w:r w:rsidRPr="00451ABB">
        <w:t>%</w:t>
      </w:r>
      <w:r w:rsidR="000744DB">
        <w:t xml:space="preserve"> - вровень с</w:t>
      </w:r>
      <w:r w:rsidRPr="00451ABB">
        <w:t xml:space="preserve"> инфляци</w:t>
      </w:r>
      <w:r w:rsidR="000744DB">
        <w:t>ей</w:t>
      </w:r>
      <w:r w:rsidRPr="00451ABB">
        <w:t xml:space="preserve"> потребительского рынка. За три года (с </w:t>
      </w:r>
      <w:r w:rsidR="000744DB">
        <w:t>дека</w:t>
      </w:r>
      <w:r w:rsidRPr="00451ABB">
        <w:t>бря 2011-го) номинальный рост рас</w:t>
      </w:r>
      <w:r w:rsidR="000744DB">
        <w:t xml:space="preserve">ходов в </w:t>
      </w:r>
      <w:proofErr w:type="spellStart"/>
      <w:r w:rsidR="000744DB">
        <w:t>миллионниках</w:t>
      </w:r>
      <w:proofErr w:type="spellEnd"/>
      <w:r w:rsidR="000744DB">
        <w:t xml:space="preserve"> составил 31,5</w:t>
      </w:r>
      <w:r w:rsidRPr="00451ABB">
        <w:t xml:space="preserve">%, что выше  инфляции потребительского рынка на </w:t>
      </w:r>
      <w:r w:rsidR="000744DB">
        <w:t>5,5</w:t>
      </w:r>
      <w:r w:rsidRPr="00451ABB">
        <w:t xml:space="preserve"> процентны</w:t>
      </w:r>
      <w:r w:rsidR="000744DB">
        <w:t>х</w:t>
      </w:r>
      <w:r w:rsidRPr="00451ABB">
        <w:t xml:space="preserve"> пункт</w:t>
      </w:r>
      <w:r w:rsidR="000744DB">
        <w:t>а</w:t>
      </w:r>
      <w:r w:rsidRPr="00451ABB">
        <w:t>.</w:t>
      </w:r>
    </w:p>
    <w:p w:rsidR="00451ABB" w:rsidRPr="00451ABB" w:rsidRDefault="00451ABB" w:rsidP="00451ABB">
      <w:r w:rsidRPr="00451ABB">
        <w:t xml:space="preserve">В городах с населением 500 – 800 тысяч жителей повседневные расходы в </w:t>
      </w:r>
      <w:r w:rsidR="000744DB">
        <w:t>декабре выросли на 15%</w:t>
      </w:r>
      <w:r w:rsidRPr="00451ABB">
        <w:t xml:space="preserve"> по сравнению с </w:t>
      </w:r>
      <w:r w:rsidR="000744DB">
        <w:t>ноябрем</w:t>
      </w:r>
      <w:r w:rsidRPr="00451ABB">
        <w:t xml:space="preserve">. </w:t>
      </w:r>
      <w:r w:rsidR="000744DB">
        <w:t xml:space="preserve">И это весьма скромно. </w:t>
      </w:r>
      <w:proofErr w:type="gramStart"/>
      <w:r w:rsidR="000744DB">
        <w:t xml:space="preserve">В 2013-м году рост составил 18%, в 2012-м – 21%. </w:t>
      </w:r>
      <w:r w:rsidRPr="00451ABB">
        <w:t>Темпы городового роста в этих городах</w:t>
      </w:r>
      <w:r w:rsidR="000744DB">
        <w:t xml:space="preserve"> составили в среднем 15%.</w:t>
      </w:r>
      <w:r w:rsidRPr="00451ABB">
        <w:t xml:space="preserve">В реальном выражении можно говорить о росте потребительских расходов за год </w:t>
      </w:r>
      <w:r w:rsidR="000744DB">
        <w:t>всего на 2 – 2,5%. В то время как в ноябре этот показатель был на уровне</w:t>
      </w:r>
      <w:r w:rsidRPr="00451ABB">
        <w:t xml:space="preserve"> впечатляющи</w:t>
      </w:r>
      <w:r w:rsidR="000744DB">
        <w:t xml:space="preserve">х 8 – </w:t>
      </w:r>
      <w:r w:rsidRPr="00451ABB">
        <w:t xml:space="preserve">9%. За три года (с </w:t>
      </w:r>
      <w:r w:rsidR="000744DB">
        <w:t>декабря</w:t>
      </w:r>
      <w:r w:rsidRPr="00451ABB">
        <w:t xml:space="preserve"> 2011-го) номинальный рост расходов в городах этого</w:t>
      </w:r>
      <w:proofErr w:type="gramEnd"/>
      <w:r w:rsidRPr="00451ABB">
        <w:t xml:space="preserve"> размера составил </w:t>
      </w:r>
      <w:r w:rsidR="000744DB">
        <w:t>49,5</w:t>
      </w:r>
      <w:r w:rsidRPr="00451ABB">
        <w:t>%</w:t>
      </w:r>
      <w:r w:rsidR="000744DB">
        <w:t xml:space="preserve"> (</w:t>
      </w:r>
      <w:r w:rsidRPr="00451ABB">
        <w:t>1,5 раза</w:t>
      </w:r>
      <w:r w:rsidR="000744DB">
        <w:t>), что почти в два раза</w:t>
      </w:r>
      <w:r w:rsidRPr="00451ABB">
        <w:t xml:space="preserve"> выше инфляции потребительского рынка, накопленной за этот период. </w:t>
      </w:r>
    </w:p>
    <w:p w:rsidR="00451ABB" w:rsidRPr="00451ABB" w:rsidRDefault="00451ABB" w:rsidP="00451ABB">
      <w:r w:rsidRPr="00451ABB">
        <w:t xml:space="preserve">В городах с населением 100 – 450 тысяч жителей повседневные расходы в </w:t>
      </w:r>
      <w:r w:rsidR="000744DB">
        <w:t>декабре</w:t>
      </w:r>
      <w:r w:rsidRPr="00451ABB">
        <w:t xml:space="preserve"> </w:t>
      </w:r>
      <w:r w:rsidR="000744DB">
        <w:t xml:space="preserve">2014-го </w:t>
      </w:r>
      <w:r w:rsidRPr="00451ABB">
        <w:t xml:space="preserve">выросли на </w:t>
      </w:r>
      <w:r w:rsidR="000744DB">
        <w:t>28,5</w:t>
      </w:r>
      <w:r w:rsidRPr="00451ABB">
        <w:t xml:space="preserve">% по сравнению с </w:t>
      </w:r>
      <w:r w:rsidR="000744DB">
        <w:t>но</w:t>
      </w:r>
      <w:r w:rsidRPr="00451ABB">
        <w:t>ябрем</w:t>
      </w:r>
      <w:r w:rsidR="000744DB">
        <w:t>.</w:t>
      </w:r>
      <w:r w:rsidRPr="00451ABB">
        <w:t xml:space="preserve"> </w:t>
      </w:r>
      <w:r w:rsidR="003713C0">
        <w:t>В 2013-м году аналогичный показатель был 24%, в 2012-м – 30%. За год (с декабря 2013-го) рост составил 18%</w:t>
      </w:r>
      <w:r w:rsidRPr="00451ABB">
        <w:t xml:space="preserve">. В реальном выражении можно говорить о  росте потребительских расходов на 4 – 5% за год. В октябре </w:t>
      </w:r>
      <w:r w:rsidR="003713C0">
        <w:t xml:space="preserve">и ноябре </w:t>
      </w:r>
      <w:r w:rsidRPr="00451ABB">
        <w:t xml:space="preserve">там тоже </w:t>
      </w:r>
      <w:r w:rsidRPr="00451ABB">
        <w:lastRenderedPageBreak/>
        <w:t xml:space="preserve">наблюдался хороший реальный рост (на </w:t>
      </w:r>
      <w:r w:rsidR="003713C0">
        <w:t xml:space="preserve">5 – </w:t>
      </w:r>
      <w:r w:rsidRPr="00451ABB">
        <w:t xml:space="preserve">6% в годовом выражении). А вот в сентябре имело место снижение реальных расходов на 1 – 1,5%. За три года (с </w:t>
      </w:r>
      <w:r w:rsidR="003713C0">
        <w:t>декабря</w:t>
      </w:r>
      <w:r w:rsidRPr="00451ABB">
        <w:t xml:space="preserve"> 2011-го) номинальный рост расходов в городах этого размера превысил 6</w:t>
      </w:r>
      <w:r w:rsidR="003713C0">
        <w:t>5</w:t>
      </w:r>
      <w:r w:rsidRPr="00451ABB">
        <w:t>%, что превосходит показатель инфляции потребительского рынка, накопленной за этот период в 2,5 раза.</w:t>
      </w:r>
    </w:p>
    <w:p w:rsidR="00451ABB" w:rsidRPr="00451ABB" w:rsidRDefault="00451ABB" w:rsidP="00451ABB">
      <w:pPr>
        <w:rPr>
          <w:b/>
          <w:u w:val="single"/>
        </w:rPr>
      </w:pPr>
    </w:p>
    <w:p w:rsidR="00451ABB" w:rsidRPr="000744DB" w:rsidRDefault="00451ABB" w:rsidP="00451ABB">
      <w:pPr>
        <w:rPr>
          <w:b/>
          <w:sz w:val="24"/>
          <w:szCs w:val="24"/>
          <w:u w:val="single"/>
        </w:rPr>
      </w:pPr>
      <w:r w:rsidRPr="000744DB">
        <w:rPr>
          <w:b/>
          <w:sz w:val="24"/>
          <w:szCs w:val="24"/>
          <w:u w:val="single"/>
        </w:rPr>
        <w:t>Доходные группы</w:t>
      </w:r>
    </w:p>
    <w:p w:rsidR="00451ABB" w:rsidRPr="00451ABB" w:rsidRDefault="00451ABB" w:rsidP="00451ABB">
      <w:r w:rsidRPr="00451ABB">
        <w:t xml:space="preserve">Потребители с доходами ниже среднего уровня в </w:t>
      </w:r>
      <w:r w:rsidR="005E192B">
        <w:t>декабре 2014-го</w:t>
      </w:r>
      <w:r w:rsidRPr="00451ABB">
        <w:t xml:space="preserve"> потратили на повседневные нужды на </w:t>
      </w:r>
      <w:r w:rsidR="005E192B">
        <w:t>14,5</w:t>
      </w:r>
      <w:r w:rsidRPr="00451ABB">
        <w:t xml:space="preserve">% больше средств в номинальном выражении, чем </w:t>
      </w:r>
      <w:r w:rsidR="005E192B">
        <w:t xml:space="preserve">ноябре. В 2013-м году декабрьский рост расходов составлял у них 20%, в 2012-м году – 30%. </w:t>
      </w:r>
      <w:r w:rsidRPr="00451ABB">
        <w:t xml:space="preserve">По сравнению с </w:t>
      </w:r>
      <w:r w:rsidR="005E192B">
        <w:t>декабрем</w:t>
      </w:r>
      <w:r w:rsidRPr="00451ABB">
        <w:t xml:space="preserve"> 2013-го расходы у этих потребителей возросли на 1</w:t>
      </w:r>
      <w:r w:rsidR="005E192B">
        <w:t>0</w:t>
      </w:r>
      <w:r w:rsidRPr="00451ABB">
        <w:t xml:space="preserve">,8%. </w:t>
      </w:r>
      <w:r w:rsidR="005E192B">
        <w:t xml:space="preserve"> Это даже ниже инфляции потребительского рынка.</w:t>
      </w:r>
      <w:r w:rsidRPr="00451ABB">
        <w:t xml:space="preserve"> С поправкой на инфляцию реально</w:t>
      </w:r>
      <w:r w:rsidR="005E192B">
        <w:t>е</w:t>
      </w:r>
      <w:r w:rsidRPr="00451ABB">
        <w:t xml:space="preserve"> повседневно</w:t>
      </w:r>
      <w:r w:rsidR="005E192B">
        <w:t>е</w:t>
      </w:r>
      <w:r w:rsidRPr="00451ABB">
        <w:t xml:space="preserve"> потреблени</w:t>
      </w:r>
      <w:r w:rsidR="005E192B">
        <w:t>е</w:t>
      </w:r>
      <w:r w:rsidRPr="00451ABB">
        <w:t xml:space="preserve"> у этой потребительской группы</w:t>
      </w:r>
      <w:r w:rsidR="005E192B">
        <w:t xml:space="preserve"> снизилось на 1,5</w:t>
      </w:r>
      <w:r w:rsidRPr="00451ABB">
        <w:t xml:space="preserve">% за год. </w:t>
      </w:r>
      <w:r w:rsidR="005E192B">
        <w:t xml:space="preserve">За два года (с декабря 2012-го) номинальный рост расходов в этой группе составил только 15,3%, что ниже инфляции потребительского рынка (19%). </w:t>
      </w:r>
      <w:r w:rsidRPr="00451ABB">
        <w:t xml:space="preserve">За три года (с </w:t>
      </w:r>
      <w:r w:rsidR="005E192B">
        <w:t>декабря</w:t>
      </w:r>
      <w:r w:rsidRPr="00451ABB">
        <w:t xml:space="preserve"> 2011-го) повседневные расходы этой группы потребителей в номинальном выражении выросли на 3</w:t>
      </w:r>
      <w:r w:rsidR="005E192B">
        <w:t>2,5</w:t>
      </w:r>
      <w:r w:rsidRPr="00451ABB">
        <w:t>%, что превышает потребительскую инфляцию, накопленную за этот период</w:t>
      </w:r>
      <w:r w:rsidR="005E192B">
        <w:t xml:space="preserve"> на 6 – 7 пунктов</w:t>
      </w:r>
      <w:r w:rsidRPr="00451ABB">
        <w:t xml:space="preserve">. Рост реальных расходов по сравнению с </w:t>
      </w:r>
      <w:r w:rsidR="005E192B">
        <w:t>декабрем</w:t>
      </w:r>
      <w:r w:rsidRPr="00451ABB">
        <w:t xml:space="preserve"> 2011-го – </w:t>
      </w:r>
      <w:r w:rsidR="005E192B">
        <w:t>в пределах 5%</w:t>
      </w:r>
      <w:r w:rsidRPr="00451ABB">
        <w:t>.</w:t>
      </w:r>
    </w:p>
    <w:p w:rsidR="00E04B6C" w:rsidRPr="00451ABB" w:rsidRDefault="00451ABB" w:rsidP="00E04B6C">
      <w:r w:rsidRPr="00451ABB">
        <w:t xml:space="preserve">У группы семей со средним уровнем доходов </w:t>
      </w:r>
      <w:r w:rsidR="005E192B">
        <w:t>повседневные расходы в декабре 2014-го выросли на 26% к ноябрю и октябрю; и на 45% к провальному сентябрю.</w:t>
      </w:r>
      <w:r w:rsidR="00E04B6C">
        <w:t xml:space="preserve"> Такое крутое «новогоднее ралли»</w:t>
      </w:r>
      <w:r w:rsidR="005E192B">
        <w:t xml:space="preserve"> </w:t>
      </w:r>
      <w:r w:rsidR="00E04B6C">
        <w:t xml:space="preserve">у среднего класса наблюдалось лишь в декабре 2008-го года. </w:t>
      </w:r>
      <w:r w:rsidR="005E192B">
        <w:t>З</w:t>
      </w:r>
      <w:r w:rsidRPr="00451ABB">
        <w:t xml:space="preserve">а год (по сравнению с </w:t>
      </w:r>
      <w:r w:rsidR="005E192B">
        <w:t xml:space="preserve">декабрем </w:t>
      </w:r>
      <w:r w:rsidRPr="00451ABB">
        <w:t xml:space="preserve">2013-го) </w:t>
      </w:r>
      <w:r w:rsidR="00E04B6C">
        <w:t>повседневные расходы у этой группы потребителей вы</w:t>
      </w:r>
      <w:r w:rsidRPr="00451ABB">
        <w:t>рос</w:t>
      </w:r>
      <w:r w:rsidR="00E04B6C">
        <w:t>ли</w:t>
      </w:r>
      <w:r w:rsidRPr="00451ABB">
        <w:t xml:space="preserve"> на 18</w:t>
      </w:r>
      <w:r w:rsidR="00E04B6C">
        <w:t>,5</w:t>
      </w:r>
      <w:r w:rsidRPr="00451ABB">
        <w:t xml:space="preserve">%, обогнав инфляцию </w:t>
      </w:r>
      <w:r w:rsidR="00E04B6C">
        <w:t>потребительского рынка в 1,5 раза</w:t>
      </w:r>
      <w:r w:rsidRPr="00451ABB">
        <w:t xml:space="preserve">. </w:t>
      </w:r>
      <w:r w:rsidR="00E04B6C">
        <w:t xml:space="preserve">За два года (с декабря 2012-го) номинальный рост расходов в этой группе составил только 11,5%, что ниже инфляции потребительского рынка почти в два раза. </w:t>
      </w:r>
      <w:r w:rsidR="00E04B6C" w:rsidRPr="00451ABB">
        <w:t xml:space="preserve">За три года (с </w:t>
      </w:r>
      <w:r w:rsidR="00E04B6C">
        <w:t>декабря</w:t>
      </w:r>
      <w:r w:rsidR="00E04B6C" w:rsidRPr="00451ABB">
        <w:t xml:space="preserve"> 2011-го) повседневные расходы этой группы потребителей в номинальном выражении выросли на 3</w:t>
      </w:r>
      <w:r w:rsidR="00E04B6C">
        <w:t>2,5</w:t>
      </w:r>
      <w:r w:rsidR="00E04B6C" w:rsidRPr="00451ABB">
        <w:t>%, что превышает потребительскую инфляцию, накопленную за этот период</w:t>
      </w:r>
      <w:r w:rsidR="00E04B6C">
        <w:t xml:space="preserve"> на 6 – 7 пунктов</w:t>
      </w:r>
      <w:r w:rsidR="00E04B6C" w:rsidRPr="00451ABB">
        <w:t xml:space="preserve">. Рост реальных расходов по сравнению с </w:t>
      </w:r>
      <w:r w:rsidR="00E04B6C">
        <w:t>декабрем</w:t>
      </w:r>
      <w:r w:rsidR="00E04B6C" w:rsidRPr="00451ABB">
        <w:t xml:space="preserve"> 2011-го – </w:t>
      </w:r>
      <w:r w:rsidR="00E04B6C">
        <w:t>в пределах 5%</w:t>
      </w:r>
      <w:r w:rsidR="00E04B6C" w:rsidRPr="00451ABB">
        <w:t>.</w:t>
      </w:r>
    </w:p>
    <w:p w:rsidR="004E4F96" w:rsidRPr="00451ABB" w:rsidRDefault="00451ABB" w:rsidP="004E4F96">
      <w:r w:rsidRPr="00451ABB">
        <w:t xml:space="preserve">У потребителей с доходами выше среднего уровня, повседневные расходы в </w:t>
      </w:r>
      <w:r w:rsidR="00E04B6C">
        <w:t>декабре</w:t>
      </w:r>
      <w:r w:rsidRPr="00451ABB">
        <w:t xml:space="preserve"> 2014-го выросли на </w:t>
      </w:r>
      <w:r w:rsidR="00E04B6C">
        <w:t>25</w:t>
      </w:r>
      <w:r w:rsidRPr="00451ABB">
        <w:t xml:space="preserve">% по сравнению с </w:t>
      </w:r>
      <w:r w:rsidR="00E04B6C">
        <w:t>ноябрьскими</w:t>
      </w:r>
      <w:r w:rsidRPr="00451ABB">
        <w:t xml:space="preserve"> значениями. </w:t>
      </w:r>
      <w:r w:rsidR="00E04B6C">
        <w:t>В декабре 2008-го рост был на уровне 23%, в декабре 2010-го – 24%. В остальные годы – значительно ниже.</w:t>
      </w:r>
      <w:r w:rsidR="004E4F96">
        <w:t xml:space="preserve"> За год повседневные расходы обеспеченных потребителей выросли на 12,8% - чуть выше общей потребительской инфляции, чуть ниже продуктовой инфляции</w:t>
      </w:r>
      <w:r w:rsidRPr="00451ABB">
        <w:t xml:space="preserve">. </w:t>
      </w:r>
      <w:r w:rsidR="004E4F96">
        <w:t xml:space="preserve">В реальном выражении – практически без изменений. За два года (с декабря 2012-го) номинальный рост расходов в этой группе составил 16% - как и инфляция потребительского рынка. </w:t>
      </w:r>
      <w:r w:rsidR="004E4F96" w:rsidRPr="00451ABB">
        <w:t xml:space="preserve">За три года (с </w:t>
      </w:r>
      <w:r w:rsidR="004E4F96">
        <w:t>декабря</w:t>
      </w:r>
      <w:r w:rsidR="004E4F96" w:rsidRPr="00451ABB">
        <w:t xml:space="preserve"> 2011-го) повседневные расходы этой группы потребителей в номинальном выражении выросли на 3</w:t>
      </w:r>
      <w:r w:rsidR="004E4F96">
        <w:t>6</w:t>
      </w:r>
      <w:r w:rsidR="004E4F96" w:rsidRPr="00451ABB">
        <w:t>%, что превышает потребительскую инфляцию, накопленную за этот период</w:t>
      </w:r>
      <w:r w:rsidR="004E4F96">
        <w:t xml:space="preserve"> на 10 пунктов</w:t>
      </w:r>
      <w:r w:rsidR="004E4F96" w:rsidRPr="00451ABB">
        <w:t xml:space="preserve">. Рост реальных расходов по сравнению с </w:t>
      </w:r>
      <w:r w:rsidR="004E4F96">
        <w:t>декабрем</w:t>
      </w:r>
      <w:r w:rsidR="004E4F96" w:rsidRPr="00451ABB">
        <w:t xml:space="preserve"> 2011-го – </w:t>
      </w:r>
      <w:r w:rsidR="004E4F96">
        <w:t>около 8%</w:t>
      </w:r>
      <w:r w:rsidR="004E4F96" w:rsidRPr="00451ABB">
        <w:t>.</w:t>
      </w:r>
    </w:p>
    <w:p w:rsidR="00C44EE4" w:rsidRDefault="00C44EE4" w:rsidP="00451ABB">
      <w:pPr>
        <w:rPr>
          <w:sz w:val="24"/>
          <w:szCs w:val="24"/>
        </w:rPr>
      </w:pPr>
    </w:p>
    <w:p w:rsidR="00C44EE4" w:rsidRDefault="00C44EE4" w:rsidP="00451ABB">
      <w:pPr>
        <w:rPr>
          <w:sz w:val="28"/>
          <w:szCs w:val="28"/>
        </w:rPr>
      </w:pPr>
    </w:p>
    <w:p w:rsidR="00C44EE4" w:rsidRDefault="00C44EE4" w:rsidP="00451ABB">
      <w:pPr>
        <w:rPr>
          <w:sz w:val="28"/>
          <w:szCs w:val="28"/>
        </w:rPr>
      </w:pPr>
    </w:p>
    <w:p w:rsidR="00C44EE4" w:rsidRPr="00C44EE4" w:rsidRDefault="00C44EE4" w:rsidP="00451ABB">
      <w:pPr>
        <w:rPr>
          <w:sz w:val="28"/>
          <w:szCs w:val="28"/>
        </w:rPr>
      </w:pPr>
      <w:r w:rsidRPr="00C44EE4">
        <w:rPr>
          <w:sz w:val="28"/>
          <w:szCs w:val="28"/>
        </w:rPr>
        <w:lastRenderedPageBreak/>
        <w:t>Индекс «Кофе с молоком»</w:t>
      </w:r>
    </w:p>
    <w:p w:rsidR="00C44EE4" w:rsidRPr="00C44EE4" w:rsidRDefault="00C44EE4" w:rsidP="00C44EE4">
      <w:r w:rsidRPr="00C44EE4">
        <w:t xml:space="preserve">Индекс «Кофе – с – молоком» рассчитываемый по данным исследовательского холдинга </w:t>
      </w:r>
      <w:proofErr w:type="spellStart"/>
      <w:r w:rsidRPr="00C44EE4">
        <w:t>Ромир</w:t>
      </w:r>
      <w:proofErr w:type="spellEnd"/>
      <w:r w:rsidRPr="00C44EE4">
        <w:t xml:space="preserve">, полученным  по технологии непрерывного сканирования реальных покупок в домашних хозяйствах – </w:t>
      </w:r>
      <w:r w:rsidRPr="00C44EE4">
        <w:rPr>
          <w:b/>
        </w:rPr>
        <w:t>см. Справку</w:t>
      </w:r>
      <w:r w:rsidRPr="00C44EE4">
        <w:t xml:space="preserve"> – в декабре  2014-го года вырос по сравнению с ноябрем на 13,5%. Такого значительного предновогоднего роста индекса </w:t>
      </w:r>
      <w:proofErr w:type="spellStart"/>
      <w:r w:rsidRPr="00C44EE4">
        <w:t>Ромир</w:t>
      </w:r>
      <w:proofErr w:type="spellEnd"/>
      <w:r w:rsidRPr="00C44EE4">
        <w:t xml:space="preserve"> ранее не наблюдал. В предыдущие годы декабрьские показатели были выше ноябрьских не более чем на 10%. И это при том, что в октябре и ноябре 2014-го также наблюдался рост индекса</w:t>
      </w:r>
      <w:proofErr w:type="gramStart"/>
      <w:r w:rsidRPr="00C44EE4">
        <w:t xml:space="preserve"> К</w:t>
      </w:r>
      <w:proofErr w:type="gramEnd"/>
      <w:r w:rsidRPr="00C44EE4">
        <w:t xml:space="preserve"> – с – М. В принципе рост индекса в октябре – декабре является достаточно типичным явлением. Но, в этот раз он оказался особенно сильным. За три месяца 2014-м году (с сентября по декабрь) индекс</w:t>
      </w:r>
      <w:proofErr w:type="gramStart"/>
      <w:r w:rsidRPr="00C44EE4">
        <w:t xml:space="preserve"> К</w:t>
      </w:r>
      <w:proofErr w:type="gramEnd"/>
      <w:r w:rsidRPr="00C44EE4">
        <w:t xml:space="preserve"> – с – М вырос на 28%. В то время как за аналогичный период 2013-го года – только на 14%. А в предыдущие годы рост в 4-м квартале года был в пределах 18 – 22%. </w:t>
      </w:r>
    </w:p>
    <w:p w:rsidR="00C44EE4" w:rsidRPr="00C44EE4" w:rsidRDefault="00C44EE4" w:rsidP="00C44EE4">
      <w:r w:rsidRPr="00C44EE4">
        <w:t>Рост индекса на 13,5% за месяц (к ноябрю 2014-го) произошел в основном из-за роста объемов физического потребления продуктов, входящих в индекс.  Молока – на 6%, кофе – на 8,5%, шоколада на 15% и бутилированной воды – на 17%. Кроме того на 11% выросла средняя реальная цена приобретения шоколада. Цена на кофе увеличилась на 3,7%. А вот средние цены приобретения воды и молока за месяц снизились на 2 – 3%.</w:t>
      </w:r>
    </w:p>
    <w:p w:rsidR="00C44EE4" w:rsidRPr="00C44EE4" w:rsidRDefault="00C44EE4" w:rsidP="00C44EE4">
      <w:r w:rsidRPr="00C44EE4">
        <w:t xml:space="preserve">По сравнению с декабрем 2013-го года Индекс </w:t>
      </w:r>
      <w:r w:rsidRPr="00C44EE4">
        <w:rPr>
          <w:b/>
        </w:rPr>
        <w:t>«К-с-М»</w:t>
      </w:r>
      <w:r w:rsidRPr="00C44EE4">
        <w:t xml:space="preserve"> вырос в декабре 2014-го на 19%. Это самый высокий рост за весь период наблюдений </w:t>
      </w:r>
      <w:proofErr w:type="spellStart"/>
      <w:r w:rsidRPr="00C44EE4">
        <w:t>Ромир</w:t>
      </w:r>
      <w:proofErr w:type="spellEnd"/>
      <w:r w:rsidRPr="00C44EE4">
        <w:t xml:space="preserve"> – </w:t>
      </w:r>
      <w:r>
        <w:rPr>
          <w:b/>
        </w:rPr>
        <w:t>см. Диаграмму 3</w:t>
      </w:r>
      <w:r w:rsidRPr="00C44EE4">
        <w:t>. В декабре 2013-го было зафиксировано символическое снижение индекса по сравнению с декабрем 2012-го года. В предыдущие два года индекс</w:t>
      </w:r>
      <w:proofErr w:type="gramStart"/>
      <w:r w:rsidRPr="00C44EE4">
        <w:t xml:space="preserve"> К</w:t>
      </w:r>
      <w:proofErr w:type="gramEnd"/>
      <w:r w:rsidRPr="00C44EE4">
        <w:t xml:space="preserve"> – с – М рос на 5 – 6% в год. И лишь в 2008 – 2010 гг. темпы роста индекса были двузначными. Так что рост индекса</w:t>
      </w:r>
      <w:proofErr w:type="gramStart"/>
      <w:r w:rsidRPr="00C44EE4">
        <w:t xml:space="preserve"> К</w:t>
      </w:r>
      <w:proofErr w:type="gramEnd"/>
      <w:r w:rsidRPr="00C44EE4">
        <w:t xml:space="preserve"> – с – М за два года составил 18,5%, что практически совпадает со значением общей потребительской инфляции, накопленной за эти два года.  За три года (с декабря 2011-го) Индекс К-с-М </w:t>
      </w:r>
      <w:proofErr w:type="spellStart"/>
      <w:r w:rsidRPr="00C44EE4">
        <w:t>Ромир</w:t>
      </w:r>
      <w:proofErr w:type="spellEnd"/>
      <w:r w:rsidRPr="00C44EE4">
        <w:t xml:space="preserve"> вырос  на 24,5% (в среднем – по 7,5% годового роста),  немного отстав от официальной оценки (Росстат) инфляции потребительского рынка за этот период (26,5%). За шесть лет (с декабря 2008-го) Индекс К-С-М </w:t>
      </w:r>
      <w:proofErr w:type="spellStart"/>
      <w:r w:rsidRPr="00C44EE4">
        <w:t>Ромир</w:t>
      </w:r>
      <w:proofErr w:type="spellEnd"/>
      <w:r w:rsidRPr="00C44EE4">
        <w:t xml:space="preserve"> вырос на 68% (в среднем на 9% в год), что немного превышает с оценку Росстатом общей потребительской инфляции за эти шесть лет.</w:t>
      </w:r>
    </w:p>
    <w:p w:rsidR="001408FB" w:rsidRPr="001408FB" w:rsidRDefault="001408FB" w:rsidP="001408FB">
      <w:r>
        <w:rPr>
          <w:b/>
        </w:rPr>
        <w:t>Диаграмма 2</w:t>
      </w:r>
      <w:r w:rsidRPr="001408FB">
        <w:rPr>
          <w:b/>
        </w:rPr>
        <w:t xml:space="preserve">. Динамика Индекса «Кофе-с-молоком». Январь 2010 – декабрь 2014. </w:t>
      </w:r>
      <w:r w:rsidRPr="001408FB">
        <w:rPr>
          <w:noProof/>
          <w:lang w:eastAsia="ru-RU"/>
        </w:rPr>
        <w:drawing>
          <wp:inline distT="0" distB="0" distL="0" distR="0" wp14:anchorId="08EC0005" wp14:editId="60C972FE">
            <wp:extent cx="5575300" cy="29019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408FB">
        <w:rPr>
          <w:b/>
        </w:rPr>
        <w:t xml:space="preserve">Данные - </w:t>
      </w:r>
      <w:proofErr w:type="spellStart"/>
      <w:r w:rsidRPr="001408FB">
        <w:rPr>
          <w:b/>
        </w:rPr>
        <w:t>Ромир</w:t>
      </w:r>
      <w:proofErr w:type="spellEnd"/>
    </w:p>
    <w:p w:rsidR="00C44EE4" w:rsidRPr="00C44EE4" w:rsidRDefault="00C44EE4" w:rsidP="00C44EE4">
      <w:r w:rsidRPr="00C44EE4">
        <w:lastRenderedPageBreak/>
        <w:t>Рост индекса в годовом выражении на 19% (декабрь 2014-го к декабрю 2013-го) произошел и за счет роста цен на все продукты, входящие в индекс, и за счет роста объемов потребления воды и кофе. Так, объем потребления бутилированной воды вырос за год на 10%, а средняя реальная цена ее приобретения выросла на 3,5%. Объем покупок кофе вырос на 16% в натуральном  выражении, а его средняя цена выросла на 7%. Натуральный объем покупок молока вырос всего на 1%, а цена приобретения этого продукта – на 10% - до 44 рублей 70 коп</w:t>
      </w:r>
      <w:proofErr w:type="gramStart"/>
      <w:r w:rsidRPr="00C44EE4">
        <w:t>.</w:t>
      </w:r>
      <w:proofErr w:type="gramEnd"/>
      <w:r w:rsidRPr="00C44EE4">
        <w:t xml:space="preserve"> </w:t>
      </w:r>
      <w:proofErr w:type="gramStart"/>
      <w:r w:rsidRPr="00C44EE4">
        <w:t>з</w:t>
      </w:r>
      <w:proofErr w:type="gramEnd"/>
      <w:r w:rsidRPr="00C44EE4">
        <w:t>а литр. При этом</w:t>
      </w:r>
      <w:proofErr w:type="gramStart"/>
      <w:r w:rsidRPr="00C44EE4">
        <w:t>,</w:t>
      </w:r>
      <w:proofErr w:type="gramEnd"/>
      <w:r w:rsidRPr="00C44EE4">
        <w:t xml:space="preserve"> хотелось бы отметить что годовые темпы роста цены на молоко существенно снизились. Еще летом они достигали 18 – 23%. А вот средняя реальная цена приобретения шоколада возросла за год на 28,5%, а объем его покупок снизился на 2,5%. Столь высокие тепы роста цены шоколада наблюдаются впервые с весны 2009-го года. Весь 2013-й год и еще в январе – феврале 2014-го годовые темпы роста цены на этот продукт были отрицательными, </w:t>
      </w:r>
      <w:proofErr w:type="spellStart"/>
      <w:r w:rsidRPr="00C44EE4">
        <w:t>т</w:t>
      </w:r>
      <w:proofErr w:type="gramStart"/>
      <w:r w:rsidRPr="00C44EE4">
        <w:t>.е</w:t>
      </w:r>
      <w:proofErr w:type="spellEnd"/>
      <w:proofErr w:type="gramEnd"/>
      <w:r w:rsidRPr="00C44EE4">
        <w:t xml:space="preserve"> - цена снижалась.</w:t>
      </w:r>
    </w:p>
    <w:p w:rsidR="00C44EE4" w:rsidRPr="00C44EE4" w:rsidRDefault="00C44EE4" w:rsidP="00C44EE4">
      <w:r w:rsidRPr="00C44EE4">
        <w:t>В Москве Индекс</w:t>
      </w:r>
      <w:proofErr w:type="gramStart"/>
      <w:r w:rsidRPr="00C44EE4">
        <w:t xml:space="preserve"> К</w:t>
      </w:r>
      <w:proofErr w:type="gramEnd"/>
      <w:r w:rsidRPr="00C44EE4">
        <w:t xml:space="preserve"> – с – М  </w:t>
      </w:r>
      <w:proofErr w:type="spellStart"/>
      <w:r w:rsidRPr="00C44EE4">
        <w:t>Ромир</w:t>
      </w:r>
      <w:proofErr w:type="spellEnd"/>
      <w:r w:rsidRPr="00C44EE4">
        <w:t xml:space="preserve"> в декабре 2014-го вырос на 16% к значению ноября и достиг 1120 пунктов. В предыдущие годы декабрьский рост (к ноябрю) никогда не превышал в Москве 10%. За год (с декабря 2013-го) рост индекса в Москве составил 23%. За год с декабря 2012-го по декабрь 2013-го индекс</w:t>
      </w:r>
      <w:proofErr w:type="gramStart"/>
      <w:r w:rsidRPr="00C44EE4">
        <w:t xml:space="preserve"> К</w:t>
      </w:r>
      <w:proofErr w:type="gramEnd"/>
      <w:r w:rsidRPr="00C44EE4">
        <w:t xml:space="preserve"> – с – М в Москве снизился на 7,5%. В предыдущие годы темпы роста индекса в Москве в декабре никогда не превышали 8% годовых.  За три года (с декабря 2011-го) рост Индекса К-с-М в Москве составил только 24%, что немного ниже темпов потребительской инфляции. И практически весь этот рост произошел в последний год. А за шесть лет (с декабря 2008-го) рост индекса составил только 50%, что уступает показателю накопленной потребительской инфляции 10 процентных пунктов. И половина этого роста пришлась на 2014-й год. Мы связываем экстремальный рост индекса</w:t>
      </w:r>
      <w:proofErr w:type="gramStart"/>
      <w:r w:rsidRPr="00C44EE4">
        <w:t xml:space="preserve"> К</w:t>
      </w:r>
      <w:proofErr w:type="gramEnd"/>
      <w:r w:rsidRPr="00C44EE4">
        <w:t xml:space="preserve"> – с – М с тем, что в 2014-м году многие москвичи не поехали отмечать Новый Год  за границу или в другие города России, а остались дома. </w:t>
      </w:r>
    </w:p>
    <w:p w:rsidR="00C44EE4" w:rsidRPr="00C44EE4" w:rsidRDefault="00C44EE4" w:rsidP="00C44EE4">
      <w:r w:rsidRPr="00C44EE4">
        <w:t>Годовой рост индекса</w:t>
      </w:r>
      <w:proofErr w:type="gramStart"/>
      <w:r w:rsidRPr="00C44EE4">
        <w:t xml:space="preserve"> К</w:t>
      </w:r>
      <w:proofErr w:type="gramEnd"/>
      <w:r w:rsidRPr="00C44EE4">
        <w:t xml:space="preserve"> – с – М в Москве (на 23%) произошел и в связи с ростом цен, и благодаря увеличению натуральных объемов потребления продуктов, входящих в индекс. Так, цена на молоко в Москве за год выросла на 3% до 46 рублей 60 коп. Кстати, это на рубль ниже ноябрьских значений. А объем натуральных покупок молока вырос на 10%. Цена на кофе выросла на 6%, а объемы его покупок – на 18%. Средняя реальная цена приобретения бутилированной воды возросла за год на 10%, а объемы ее покупок – почти в 1,5 раза. Цена на шоколад возросла на 21%, но объем его покупок снизился на 6%. Рост объемов покупок воды и молока (их не закупают впрок) подкрепляет нашу версию о том, что в столице на праздники осталось больше потребителей, чем в прошлые годы.</w:t>
      </w:r>
    </w:p>
    <w:p w:rsidR="00C44EE4" w:rsidRPr="00C44EE4" w:rsidRDefault="00C44EE4" w:rsidP="00C44EE4">
      <w:r w:rsidRPr="00C44EE4">
        <w:t>В других крупных городах (в целом, в среднем) в декабре 2014-го года Индекс К-с-М вырос на 11,75%  по сравнению с ноябрем и достиг 861 пунктов. В декабре 2011-го рост к ноябрю составил 14,4%, в декабре 2010-го – 12,6%, в декабре 2013-го – 10%. Так что декабрьский рост 2014-го в крупных городах экстраординарным никак не назовешь. Обычное дело. За год (к декабрю 2013-го) рост индекса</w:t>
      </w:r>
      <w:proofErr w:type="gramStart"/>
      <w:r w:rsidRPr="00C44EE4">
        <w:t xml:space="preserve"> К</w:t>
      </w:r>
      <w:proofErr w:type="gramEnd"/>
      <w:r w:rsidRPr="00C44EE4">
        <w:t xml:space="preserve"> – с – М в крупных городах составил 17%. Это почти в 1,5 раза выше общего роста потребительских цен, но совсем немного выше роста цен на продукты питания. Таким же был рост индекса в 2009-м и 2010-м гг. А вот в 2011 – 2013 гг. годовые темпы роста индекса составляли весьма скромные 2 – 8%. За три года (с декабря 2011-го) рост индекса составил 24,5%, что немного отстает от инфляции потребительского рынка за этот период. За шесть лет (с декабря 2008-го) индекс</w:t>
      </w:r>
      <w:proofErr w:type="gramStart"/>
      <w:r w:rsidRPr="00C44EE4">
        <w:t xml:space="preserve"> К</w:t>
      </w:r>
      <w:proofErr w:type="gramEnd"/>
      <w:r w:rsidRPr="00C44EE4">
        <w:t xml:space="preserve"> – с – М в крупных городах вырос на 82%, что превосходит показатель общей инфляции потребительского рынка более чем на 20 пунктов. </w:t>
      </w:r>
    </w:p>
    <w:p w:rsidR="00C44EE4" w:rsidRPr="00C44EE4" w:rsidRDefault="00C44EE4" w:rsidP="00C44EE4">
      <w:pPr>
        <w:rPr>
          <w:b/>
        </w:rPr>
      </w:pPr>
      <w:r w:rsidRPr="00C44EE4">
        <w:lastRenderedPageBreak/>
        <w:t xml:space="preserve">Рост индекса (декабрь 2014-го к декабрю 2013-го) на 17% произошел благодаря росту цен на все продукты индекса, кроме бутилированной воды (она подешевела на 5%). Особенно сильно выросла средняя реальная цена приобретения шоколада – на 31,5% за год (почти на треть). А также благодаря росту объемов приобретения кофе на 16% (его цена выросла на 7,5%). Объем покупок остальных продуктов  снизился в среднем на 2 – 3%. </w:t>
      </w:r>
    </w:p>
    <w:p w:rsidR="001408FB" w:rsidRDefault="001408FB" w:rsidP="001408FB">
      <w:pPr>
        <w:rPr>
          <w:b/>
          <w:sz w:val="24"/>
          <w:szCs w:val="24"/>
        </w:rPr>
      </w:pPr>
    </w:p>
    <w:p w:rsidR="001408FB" w:rsidRPr="001408FB" w:rsidRDefault="001408FB" w:rsidP="001408FB">
      <w:pPr>
        <w:rPr>
          <w:sz w:val="24"/>
          <w:szCs w:val="24"/>
        </w:rPr>
      </w:pPr>
      <w:r>
        <w:rPr>
          <w:b/>
          <w:sz w:val="24"/>
          <w:szCs w:val="24"/>
        </w:rPr>
        <w:t>Диаграмма 3</w:t>
      </w:r>
      <w:r w:rsidRPr="001408FB">
        <w:rPr>
          <w:b/>
          <w:sz w:val="24"/>
          <w:szCs w:val="24"/>
        </w:rPr>
        <w:t>. Значения Индекса «Кофе-с-молоком»: декабрь 2008 – 2014</w:t>
      </w:r>
      <w:r w:rsidRPr="001408FB">
        <w:rPr>
          <w:sz w:val="24"/>
          <w:szCs w:val="24"/>
        </w:rPr>
        <w:t xml:space="preserve"> (за 100 принято значение декабря 2008-го года) и темпы его роста (к соответствующему месяцу предыдущего года). </w:t>
      </w:r>
    </w:p>
    <w:p w:rsidR="001408FB" w:rsidRPr="001408FB" w:rsidRDefault="001408FB" w:rsidP="001408FB">
      <w:pPr>
        <w:rPr>
          <w:b/>
          <w:sz w:val="24"/>
          <w:szCs w:val="24"/>
        </w:rPr>
      </w:pPr>
      <w:r w:rsidRPr="001408FB">
        <w:rPr>
          <w:sz w:val="24"/>
          <w:szCs w:val="24"/>
        </w:rPr>
        <w:drawing>
          <wp:inline distT="0" distB="0" distL="0" distR="0" wp14:anchorId="00D1251E" wp14:editId="7289997B">
            <wp:extent cx="5425440" cy="3208020"/>
            <wp:effectExtent l="0" t="0" r="381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08FB" w:rsidRPr="001408FB" w:rsidRDefault="001408FB" w:rsidP="001408FB">
      <w:pPr>
        <w:rPr>
          <w:sz w:val="24"/>
          <w:szCs w:val="24"/>
        </w:rPr>
      </w:pPr>
      <w:r w:rsidRPr="001408FB">
        <w:rPr>
          <w:b/>
          <w:sz w:val="24"/>
          <w:szCs w:val="24"/>
        </w:rPr>
        <w:t xml:space="preserve">Данные – </w:t>
      </w:r>
      <w:proofErr w:type="spellStart"/>
      <w:r w:rsidRPr="001408FB">
        <w:rPr>
          <w:b/>
          <w:sz w:val="24"/>
          <w:szCs w:val="24"/>
        </w:rPr>
        <w:t>Ромир</w:t>
      </w:r>
      <w:proofErr w:type="spellEnd"/>
      <w:r w:rsidRPr="001408FB">
        <w:rPr>
          <w:b/>
          <w:sz w:val="24"/>
          <w:szCs w:val="24"/>
        </w:rPr>
        <w:t xml:space="preserve">  </w:t>
      </w:r>
    </w:p>
    <w:p w:rsidR="001408FB" w:rsidRDefault="001408FB" w:rsidP="001408FB"/>
    <w:p w:rsidR="001408FB" w:rsidRPr="001408FB" w:rsidRDefault="001408FB" w:rsidP="001408FB">
      <w:pPr>
        <w:rPr>
          <w:b/>
        </w:rPr>
      </w:pPr>
      <w:r w:rsidRPr="001408FB">
        <w:rPr>
          <w:b/>
        </w:rPr>
        <w:t xml:space="preserve">СПРАВКА: </w:t>
      </w:r>
    </w:p>
    <w:p w:rsidR="001408FB" w:rsidRPr="001408FB" w:rsidRDefault="001408FB" w:rsidP="001408FB">
      <w:pPr>
        <w:rPr>
          <w:b/>
        </w:rPr>
      </w:pPr>
      <w:r w:rsidRPr="001408FB">
        <w:rPr>
          <w:b/>
        </w:rPr>
        <w:t xml:space="preserve">Исследовательский холдинг </w:t>
      </w:r>
      <w:proofErr w:type="spellStart"/>
      <w:r w:rsidRPr="001408FB">
        <w:rPr>
          <w:b/>
        </w:rPr>
        <w:t>Ромир</w:t>
      </w:r>
      <w:proofErr w:type="spellEnd"/>
      <w:r w:rsidRPr="001408FB">
        <w:rPr>
          <w:b/>
        </w:rPr>
        <w:t xml:space="preserve"> разработал новый инструмент измерения потребительской активности – </w:t>
      </w:r>
      <w:r w:rsidRPr="001408FB">
        <w:rPr>
          <w:b/>
          <w:i/>
        </w:rPr>
        <w:t>«</w:t>
      </w:r>
      <w:proofErr w:type="spellStart"/>
      <w:r w:rsidRPr="001408FB">
        <w:rPr>
          <w:b/>
          <w:i/>
        </w:rPr>
        <w:t>Ромир</w:t>
      </w:r>
      <w:proofErr w:type="spellEnd"/>
      <w:r w:rsidRPr="001408FB">
        <w:rPr>
          <w:b/>
          <w:i/>
        </w:rPr>
        <w:t xml:space="preserve"> - индексы покупательской активности»</w:t>
      </w:r>
      <w:r w:rsidRPr="001408FB">
        <w:rPr>
          <w:b/>
        </w:rPr>
        <w:t>, рассчитываемые на основе панели из 3600 домохозяйств, оснащенных сканерами штрих кодов.</w:t>
      </w:r>
    </w:p>
    <w:p w:rsidR="001408FB" w:rsidRPr="001408FB" w:rsidRDefault="001408FB" w:rsidP="001408FB">
      <w:pPr>
        <w:rPr>
          <w:b/>
        </w:rPr>
      </w:pPr>
      <w:r w:rsidRPr="001408FB">
        <w:rPr>
          <w:b/>
          <w:i/>
        </w:rPr>
        <w:t>«</w:t>
      </w:r>
      <w:proofErr w:type="spellStart"/>
      <w:r w:rsidRPr="001408FB">
        <w:rPr>
          <w:b/>
          <w:i/>
        </w:rPr>
        <w:t>Ромир</w:t>
      </w:r>
      <w:proofErr w:type="spellEnd"/>
      <w:r w:rsidRPr="001408FB">
        <w:rPr>
          <w:b/>
          <w:i/>
        </w:rPr>
        <w:t xml:space="preserve"> - индексы покупательской активности»</w:t>
      </w:r>
      <w:r w:rsidRPr="001408FB">
        <w:rPr>
          <w:b/>
        </w:rPr>
        <w:t xml:space="preserve"> отражают динамику потребления товаров повседневного спроса и цен на них, качественный и количественный состав потребительской корзины, изменения в предпочтениях в отношении мест покупок жителей российских городов.</w:t>
      </w:r>
    </w:p>
    <w:p w:rsidR="001408FB" w:rsidRPr="001408FB" w:rsidRDefault="001408FB" w:rsidP="001408FB">
      <w:pPr>
        <w:rPr>
          <w:b/>
        </w:rPr>
      </w:pPr>
      <w:r w:rsidRPr="001408FB">
        <w:rPr>
          <w:b/>
        </w:rPr>
        <w:t xml:space="preserve">Базой для расчета индексов являются ежедневно обновляемые, верифицированные данные по покупкам более 100 категорий продовольственных и непродовольственных товаров в городах России с населением 100 000 жителей и более (технология сканирования штрих кодов).  </w:t>
      </w:r>
    </w:p>
    <w:p w:rsidR="001408FB" w:rsidRPr="001408FB" w:rsidRDefault="001408FB" w:rsidP="001408FB">
      <w:pPr>
        <w:rPr>
          <w:b/>
          <w:sz w:val="24"/>
          <w:szCs w:val="24"/>
        </w:rPr>
      </w:pPr>
    </w:p>
    <w:p w:rsidR="00C44EE4" w:rsidRDefault="00C44EE4" w:rsidP="00451ABB">
      <w:pPr>
        <w:rPr>
          <w:sz w:val="24"/>
          <w:szCs w:val="24"/>
        </w:rPr>
      </w:pPr>
    </w:p>
    <w:sectPr w:rsidR="00C4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A5"/>
    <w:rsid w:val="000374A5"/>
    <w:rsid w:val="000744DB"/>
    <w:rsid w:val="00116518"/>
    <w:rsid w:val="00132467"/>
    <w:rsid w:val="001408FB"/>
    <w:rsid w:val="0027527F"/>
    <w:rsid w:val="003713C0"/>
    <w:rsid w:val="00383E73"/>
    <w:rsid w:val="00451ABB"/>
    <w:rsid w:val="004E4F96"/>
    <w:rsid w:val="005C1048"/>
    <w:rsid w:val="005D597B"/>
    <w:rsid w:val="005E192B"/>
    <w:rsid w:val="00655DF2"/>
    <w:rsid w:val="006A10CF"/>
    <w:rsid w:val="007C1274"/>
    <w:rsid w:val="007C4F08"/>
    <w:rsid w:val="00826153"/>
    <w:rsid w:val="00C276AC"/>
    <w:rsid w:val="00C44EE4"/>
    <w:rsid w:val="00C74FFC"/>
    <w:rsid w:val="00CC1160"/>
    <w:rsid w:val="00E04B6C"/>
    <w:rsid w:val="00E35EDF"/>
    <w:rsid w:val="00F252B1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Номинальные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вев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-3</c:v>
                </c:pt>
                <c:pt idx="1">
                  <c:v>-1</c:v>
                </c:pt>
                <c:pt idx="2">
                  <c:v>0</c:v>
                </c:pt>
                <c:pt idx="3">
                  <c:v>-4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8</c:v>
                </c:pt>
                <c:pt idx="8">
                  <c:v>-2</c:v>
                </c:pt>
                <c:pt idx="9">
                  <c:v>8</c:v>
                </c:pt>
                <c:pt idx="10">
                  <c:v>12</c:v>
                </c:pt>
                <c:pt idx="1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вев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-9</c:v>
                </c:pt>
                <c:pt idx="1">
                  <c:v>-7</c:v>
                </c:pt>
                <c:pt idx="2">
                  <c:v>-7</c:v>
                </c:pt>
                <c:pt idx="3">
                  <c:v>-11</c:v>
                </c:pt>
                <c:pt idx="4">
                  <c:v>-1</c:v>
                </c:pt>
                <c:pt idx="5">
                  <c:v>-3</c:v>
                </c:pt>
                <c:pt idx="6">
                  <c:v>-3</c:v>
                </c:pt>
                <c:pt idx="7">
                  <c:v>1</c:v>
                </c:pt>
                <c:pt idx="8">
                  <c:v>-10</c:v>
                </c:pt>
                <c:pt idx="9">
                  <c:v>-1</c:v>
                </c:pt>
                <c:pt idx="10">
                  <c:v>2.5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28384"/>
        <c:axId val="137729920"/>
      </c:barChart>
      <c:catAx>
        <c:axId val="13772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729920"/>
        <c:crosses val="autoZero"/>
        <c:auto val="1"/>
        <c:lblAlgn val="ctr"/>
        <c:lblOffset val="100"/>
        <c:noMultiLvlLbl val="0"/>
      </c:catAx>
      <c:valAx>
        <c:axId val="13772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728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334000258164446E-2"/>
          <c:y val="0.1258478671474477"/>
          <c:w val="0.90719049978892496"/>
          <c:h val="0.724035608308605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18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31185350082989E-2"/>
                  <c:y val="-6.4201586105098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05577886680244E-2"/>
                  <c:y val="-7.3024400262113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259582936748269E-2"/>
                  <c:y val="-5.2490421443222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850165582448837E-3"/>
                  <c:y val="-3.8603137056444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778740944095229E-2"/>
                  <c:y val="-7.9038381357324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8995734565370751E-2"/>
                  <c:y val="-3.3984663361570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3271225764616728E-2"/>
                  <c:y val="-2.490095986337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4371062008857268E-2"/>
                  <c:y val="-5.019571201217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2107813446396287E-3"/>
                  <c:y val="-3.2035569543893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6.360450573048998E-2"/>
                  <c:y val="2.885476340427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5653637700853082E-5"/>
                  <c:y val="3.92209839492852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855372973483193E-2"/>
                  <c:y val="-6.8118574394969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1409378023551273E-2"/>
                  <c:y val="-3.90385065903550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4.963383073619417E-3"/>
                  <c:y val="4.8676765891938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9945959552258809E-2"/>
                  <c:y val="-7.4725823741279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911112509537777E-2"/>
                  <c:y val="-8.4181724057911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9793388414931782E-2"/>
                  <c:y val="-1.53491379268088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3.2540033505162956E-2"/>
                  <c:y val="-3.8107046677535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-5.4823994902735103E-2"/>
                  <c:y val="1.29894487410141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-3.980657138137457E-2"/>
                  <c:y val="3.7796658464124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-4.193200500287117E-2"/>
                  <c:y val="-2.3528925643972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-3.1200295767224974E-2"/>
                  <c:y val="3.5738992370609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layout>
                <c:manualLayout>
                  <c:x val="-2.1897157960150116E-2"/>
                  <c:y val="-2.3212382564163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3"/>
              <c:layout>
                <c:manualLayout>
                  <c:x val="-1.0093512901051304E-2"/>
                  <c:y val="5.1135245168217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-6.5122879107324699E-2"/>
                  <c:y val="-1.585652290622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-6.1130601681782817E-2"/>
                  <c:y val="-7.861191531662793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layout>
                <c:manualLayout>
                  <c:x val="-3.1827463874707945E-2"/>
                  <c:y val="4.990313800343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layout>
                <c:manualLayout>
                  <c:x val="-2.3952897496204641E-2"/>
                  <c:y val="-6.4557811018665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"/>
              <c:layout>
                <c:manualLayout>
                  <c:x val="-2.3221188260558457E-2"/>
                  <c:y val="-3.215414154925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9"/>
              <c:layout>
                <c:manualLayout>
                  <c:x val="-5.7451734617104092E-4"/>
                  <c:y val="-5.3083808068299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0"/>
              <c:layout>
                <c:manualLayout>
                  <c:x val="-1.6244639502029458E-2"/>
                  <c:y val="-1.00811262228585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1"/>
              <c:layout>
                <c:manualLayout>
                  <c:x val="-5.69216757741347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2"/>
              <c:layout>
                <c:manualLayout>
                  <c:x val="-4.0983606557377046E-2"/>
                  <c:y val="3.3143939393939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3"/>
              <c:layout>
                <c:manualLayout>
                  <c:x val="-6.8306010928961746E-3"/>
                  <c:y val="4.7348484848484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4"/>
              <c:layout>
                <c:manualLayout>
                  <c:x val="-5.0091074681238613E-2"/>
                  <c:y val="1.4204545454545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5"/>
              <c:layout>
                <c:manualLayout>
                  <c:x val="-2.7322404371584699E-2"/>
                  <c:y val="-2.8409090909090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6"/>
              <c:layout>
                <c:manualLayout>
                  <c:x val="-2.7322404371584699E-2"/>
                  <c:y val="6.1553030303030304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71</a:t>
                    </a:r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7"/>
              <c:layout>
                <c:manualLayout>
                  <c:x val="-3.8706739526411654E-2"/>
                  <c:y val="-3.7896683369124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8"/>
              <c:layout>
                <c:manualLayout>
                  <c:x val="-2.0491803278688523E-2"/>
                  <c:y val="6.155303030303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9"/>
              <c:layout>
                <c:manualLayout>
                  <c:x val="-2.959927140255009E-2"/>
                  <c:y val="3.0400323791301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0"/>
              <c:layout>
                <c:manualLayout>
                  <c:x val="0"/>
                  <c:y val="-3.3143939393939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1"/>
              <c:layout>
                <c:manualLayout>
                  <c:x val="0"/>
                  <c:y val="-2.180685358255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2"/>
              <c:layout>
                <c:manualLayout>
                  <c:x val="-4.0983606557377046E-2"/>
                  <c:y val="2.4922118380062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3"/>
              <c:layout>
                <c:manualLayout>
                  <c:x val="-9.1074681238615673E-3"/>
                  <c:y val="3.7383177570093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4"/>
              <c:layout>
                <c:manualLayout>
                  <c:x val="2.2774329349798277E-2"/>
                  <c:y val="9.3378599487667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5"/>
              <c:layout>
                <c:manualLayout>
                  <c:x val="-2.7329749023598089E-2"/>
                  <c:y val="-2.1808661315936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6"/>
              <c:layout>
                <c:manualLayout>
                  <c:x val="-5.920590396692952E-2"/>
                  <c:y val="1.5576334676743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7"/>
              <c:layout>
                <c:manualLayout>
                  <c:x val="0"/>
                  <c:y val="1.8695513528098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8"/>
              <c:layout>
                <c:manualLayout>
                  <c:x val="-5.0091612523844357E-2"/>
                  <c:y val="-2.4901022886157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9"/>
              <c:layout>
                <c:manualLayout>
                  <c:x val="-3.644646924829157E-2"/>
                  <c:y val="3.11526479750775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Sheet1!$B$1:$BI$1</c:f>
              <c:strCache>
                <c:ptCount val="60"/>
                <c:pt idx="0">
                  <c:v>янв.10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  <c:pt idx="12">
                  <c:v>янв.11</c:v>
                </c:pt>
                <c:pt idx="13">
                  <c:v>фев</c:v>
                </c:pt>
                <c:pt idx="14">
                  <c:v>март</c:v>
                </c:pt>
                <c:pt idx="15">
                  <c:v>апр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</c:v>
                </c:pt>
                <c:pt idx="20">
                  <c:v>сент</c:v>
                </c:pt>
                <c:pt idx="21">
                  <c:v>окт</c:v>
                </c:pt>
                <c:pt idx="22">
                  <c:v>нояб</c:v>
                </c:pt>
                <c:pt idx="23">
                  <c:v>дек</c:v>
                </c:pt>
                <c:pt idx="24">
                  <c:v>янв.12</c:v>
                </c:pt>
                <c:pt idx="25">
                  <c:v>фев</c:v>
                </c:pt>
                <c:pt idx="26">
                  <c:v>март</c:v>
                </c:pt>
                <c:pt idx="27">
                  <c:v>апр</c:v>
                </c:pt>
                <c:pt idx="28">
                  <c:v>май</c:v>
                </c:pt>
                <c:pt idx="29">
                  <c:v>июнь</c:v>
                </c:pt>
                <c:pt idx="30">
                  <c:v>июль</c:v>
                </c:pt>
                <c:pt idx="31">
                  <c:v>авг</c:v>
                </c:pt>
                <c:pt idx="32">
                  <c:v>сен</c:v>
                </c:pt>
                <c:pt idx="33">
                  <c:v>окт</c:v>
                </c:pt>
                <c:pt idx="34">
                  <c:v>ноя</c:v>
                </c:pt>
                <c:pt idx="35">
                  <c:v>дек</c:v>
                </c:pt>
                <c:pt idx="36">
                  <c:v>янв.13</c:v>
                </c:pt>
                <c:pt idx="37">
                  <c:v>фев</c:v>
                </c:pt>
                <c:pt idx="38">
                  <c:v>март</c:v>
                </c:pt>
                <c:pt idx="39">
                  <c:v>апр</c:v>
                </c:pt>
                <c:pt idx="40">
                  <c:v>май</c:v>
                </c:pt>
                <c:pt idx="41">
                  <c:v>июнь</c:v>
                </c:pt>
                <c:pt idx="42">
                  <c:v>июль</c:v>
                </c:pt>
                <c:pt idx="43">
                  <c:v>авг</c:v>
                </c:pt>
                <c:pt idx="44">
                  <c:v>сент</c:v>
                </c:pt>
                <c:pt idx="45">
                  <c:v>окт</c:v>
                </c:pt>
                <c:pt idx="46">
                  <c:v>ноя</c:v>
                </c:pt>
                <c:pt idx="47">
                  <c:v>дек</c:v>
                </c:pt>
                <c:pt idx="48">
                  <c:v>янв.14</c:v>
                </c:pt>
                <c:pt idx="49">
                  <c:v>фев</c:v>
                </c:pt>
                <c:pt idx="50">
                  <c:v>март</c:v>
                </c:pt>
                <c:pt idx="51">
                  <c:v>апр</c:v>
                </c:pt>
                <c:pt idx="52">
                  <c:v>май</c:v>
                </c:pt>
                <c:pt idx="53">
                  <c:v>июнь</c:v>
                </c:pt>
                <c:pt idx="54">
                  <c:v>июль</c:v>
                </c:pt>
                <c:pt idx="55">
                  <c:v>авг</c:v>
                </c:pt>
                <c:pt idx="56">
                  <c:v>сент</c:v>
                </c:pt>
                <c:pt idx="57">
                  <c:v>окт</c:v>
                </c:pt>
                <c:pt idx="58">
                  <c:v>ноя</c:v>
                </c:pt>
                <c:pt idx="59">
                  <c:v>дек</c:v>
                </c:pt>
              </c:strCache>
            </c:strRef>
          </c:cat>
          <c:val>
            <c:numRef>
              <c:f>Sheet1!$B$2:$BI$2</c:f>
              <c:numCache>
                <c:formatCode>General</c:formatCode>
                <c:ptCount val="60"/>
                <c:pt idx="0">
                  <c:v>577</c:v>
                </c:pt>
                <c:pt idx="1">
                  <c:v>566</c:v>
                </c:pt>
                <c:pt idx="2">
                  <c:v>609</c:v>
                </c:pt>
                <c:pt idx="3">
                  <c:v>588</c:v>
                </c:pt>
                <c:pt idx="4">
                  <c:v>579</c:v>
                </c:pt>
                <c:pt idx="5">
                  <c:v>527</c:v>
                </c:pt>
                <c:pt idx="6">
                  <c:v>577</c:v>
                </c:pt>
                <c:pt idx="7">
                  <c:v>550</c:v>
                </c:pt>
                <c:pt idx="8">
                  <c:v>572</c:v>
                </c:pt>
                <c:pt idx="9">
                  <c:v>633</c:v>
                </c:pt>
                <c:pt idx="10">
                  <c:v>642</c:v>
                </c:pt>
                <c:pt idx="11">
                  <c:v>707</c:v>
                </c:pt>
                <c:pt idx="12">
                  <c:v>657</c:v>
                </c:pt>
                <c:pt idx="13">
                  <c:v>691</c:v>
                </c:pt>
                <c:pt idx="14">
                  <c:v>685</c:v>
                </c:pt>
                <c:pt idx="15">
                  <c:v>670</c:v>
                </c:pt>
                <c:pt idx="16">
                  <c:v>634</c:v>
                </c:pt>
                <c:pt idx="17">
                  <c:v>626</c:v>
                </c:pt>
                <c:pt idx="18">
                  <c:v>643</c:v>
                </c:pt>
                <c:pt idx="19">
                  <c:v>628</c:v>
                </c:pt>
                <c:pt idx="20">
                  <c:v>625</c:v>
                </c:pt>
                <c:pt idx="21">
                  <c:v>671</c:v>
                </c:pt>
                <c:pt idx="22">
                  <c:v>670</c:v>
                </c:pt>
                <c:pt idx="23">
                  <c:v>747</c:v>
                </c:pt>
                <c:pt idx="24">
                  <c:v>701</c:v>
                </c:pt>
                <c:pt idx="25">
                  <c:v>718</c:v>
                </c:pt>
                <c:pt idx="26">
                  <c:v>732</c:v>
                </c:pt>
                <c:pt idx="27">
                  <c:v>720</c:v>
                </c:pt>
                <c:pt idx="28">
                  <c:v>668</c:v>
                </c:pt>
                <c:pt idx="29">
                  <c:v>650</c:v>
                </c:pt>
                <c:pt idx="30">
                  <c:v>675</c:v>
                </c:pt>
                <c:pt idx="31">
                  <c:v>643</c:v>
                </c:pt>
                <c:pt idx="32">
                  <c:v>653</c:v>
                </c:pt>
                <c:pt idx="33">
                  <c:v>709</c:v>
                </c:pt>
                <c:pt idx="34">
                  <c:v>730</c:v>
                </c:pt>
                <c:pt idx="35">
                  <c:v>786</c:v>
                </c:pt>
                <c:pt idx="36">
                  <c:v>746</c:v>
                </c:pt>
                <c:pt idx="37">
                  <c:v>733</c:v>
                </c:pt>
                <c:pt idx="38">
                  <c:v>787</c:v>
                </c:pt>
                <c:pt idx="39">
                  <c:v>723</c:v>
                </c:pt>
                <c:pt idx="40">
                  <c:v>710</c:v>
                </c:pt>
                <c:pt idx="41">
                  <c:v>650</c:v>
                </c:pt>
                <c:pt idx="42">
                  <c:v>627</c:v>
                </c:pt>
                <c:pt idx="43">
                  <c:v>625</c:v>
                </c:pt>
                <c:pt idx="44">
                  <c:v>682</c:v>
                </c:pt>
                <c:pt idx="45">
                  <c:v>728</c:v>
                </c:pt>
                <c:pt idx="46">
                  <c:v>711</c:v>
                </c:pt>
                <c:pt idx="47">
                  <c:v>781</c:v>
                </c:pt>
                <c:pt idx="48">
                  <c:v>723</c:v>
                </c:pt>
                <c:pt idx="49">
                  <c:v>769</c:v>
                </c:pt>
                <c:pt idx="50">
                  <c:v>809</c:v>
                </c:pt>
                <c:pt idx="51">
                  <c:v>745</c:v>
                </c:pt>
                <c:pt idx="52">
                  <c:v>723</c:v>
                </c:pt>
                <c:pt idx="53">
                  <c:v>702</c:v>
                </c:pt>
                <c:pt idx="54">
                  <c:v>729</c:v>
                </c:pt>
                <c:pt idx="55">
                  <c:v>767</c:v>
                </c:pt>
                <c:pt idx="56">
                  <c:v>729</c:v>
                </c:pt>
                <c:pt idx="57">
                  <c:v>794</c:v>
                </c:pt>
                <c:pt idx="58">
                  <c:v>820</c:v>
                </c:pt>
                <c:pt idx="59">
                  <c:v>931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1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Sheet1!$B$1:$BI$1</c:f>
              <c:strCache>
                <c:ptCount val="60"/>
                <c:pt idx="0">
                  <c:v>янв.10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  <c:pt idx="12">
                  <c:v>янв.11</c:v>
                </c:pt>
                <c:pt idx="13">
                  <c:v>фев</c:v>
                </c:pt>
                <c:pt idx="14">
                  <c:v>март</c:v>
                </c:pt>
                <c:pt idx="15">
                  <c:v>апр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</c:v>
                </c:pt>
                <c:pt idx="20">
                  <c:v>сент</c:v>
                </c:pt>
                <c:pt idx="21">
                  <c:v>окт</c:v>
                </c:pt>
                <c:pt idx="22">
                  <c:v>нояб</c:v>
                </c:pt>
                <c:pt idx="23">
                  <c:v>дек</c:v>
                </c:pt>
                <c:pt idx="24">
                  <c:v>янв.12</c:v>
                </c:pt>
                <c:pt idx="25">
                  <c:v>фев</c:v>
                </c:pt>
                <c:pt idx="26">
                  <c:v>март</c:v>
                </c:pt>
                <c:pt idx="27">
                  <c:v>апр</c:v>
                </c:pt>
                <c:pt idx="28">
                  <c:v>май</c:v>
                </c:pt>
                <c:pt idx="29">
                  <c:v>июнь</c:v>
                </c:pt>
                <c:pt idx="30">
                  <c:v>июль</c:v>
                </c:pt>
                <c:pt idx="31">
                  <c:v>авг</c:v>
                </c:pt>
                <c:pt idx="32">
                  <c:v>сен</c:v>
                </c:pt>
                <c:pt idx="33">
                  <c:v>окт</c:v>
                </c:pt>
                <c:pt idx="34">
                  <c:v>ноя</c:v>
                </c:pt>
                <c:pt idx="35">
                  <c:v>дек</c:v>
                </c:pt>
                <c:pt idx="36">
                  <c:v>янв.13</c:v>
                </c:pt>
                <c:pt idx="37">
                  <c:v>фев</c:v>
                </c:pt>
                <c:pt idx="38">
                  <c:v>март</c:v>
                </c:pt>
                <c:pt idx="39">
                  <c:v>апр</c:v>
                </c:pt>
                <c:pt idx="40">
                  <c:v>май</c:v>
                </c:pt>
                <c:pt idx="41">
                  <c:v>июнь</c:v>
                </c:pt>
                <c:pt idx="42">
                  <c:v>июль</c:v>
                </c:pt>
                <c:pt idx="43">
                  <c:v>авг</c:v>
                </c:pt>
                <c:pt idx="44">
                  <c:v>сент</c:v>
                </c:pt>
                <c:pt idx="45">
                  <c:v>окт</c:v>
                </c:pt>
                <c:pt idx="46">
                  <c:v>ноя</c:v>
                </c:pt>
                <c:pt idx="47">
                  <c:v>дек</c:v>
                </c:pt>
                <c:pt idx="48">
                  <c:v>янв.14</c:v>
                </c:pt>
                <c:pt idx="49">
                  <c:v>фев</c:v>
                </c:pt>
                <c:pt idx="50">
                  <c:v>март</c:v>
                </c:pt>
                <c:pt idx="51">
                  <c:v>апр</c:v>
                </c:pt>
                <c:pt idx="52">
                  <c:v>май</c:v>
                </c:pt>
                <c:pt idx="53">
                  <c:v>июнь</c:v>
                </c:pt>
                <c:pt idx="54">
                  <c:v>июль</c:v>
                </c:pt>
                <c:pt idx="55">
                  <c:v>авг</c:v>
                </c:pt>
                <c:pt idx="56">
                  <c:v>сент</c:v>
                </c:pt>
                <c:pt idx="57">
                  <c:v>окт</c:v>
                </c:pt>
                <c:pt idx="58">
                  <c:v>ноя</c:v>
                </c:pt>
                <c:pt idx="59">
                  <c:v>дек</c:v>
                </c:pt>
              </c:strCache>
            </c:strRef>
          </c:cat>
          <c:val>
            <c:numRef>
              <c:f>Sheet1!$B$3:$BI$3</c:f>
              <c:numCache>
                <c:formatCode>General</c:formatCode>
                <c:ptCount val="60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8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Sheet1!$B$1:$BI$1</c:f>
              <c:strCache>
                <c:ptCount val="60"/>
                <c:pt idx="0">
                  <c:v>янв.10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  <c:pt idx="12">
                  <c:v>янв.11</c:v>
                </c:pt>
                <c:pt idx="13">
                  <c:v>фев</c:v>
                </c:pt>
                <c:pt idx="14">
                  <c:v>март</c:v>
                </c:pt>
                <c:pt idx="15">
                  <c:v>апр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</c:v>
                </c:pt>
                <c:pt idx="20">
                  <c:v>сент</c:v>
                </c:pt>
                <c:pt idx="21">
                  <c:v>окт</c:v>
                </c:pt>
                <c:pt idx="22">
                  <c:v>нояб</c:v>
                </c:pt>
                <c:pt idx="23">
                  <c:v>дек</c:v>
                </c:pt>
                <c:pt idx="24">
                  <c:v>янв.12</c:v>
                </c:pt>
                <c:pt idx="25">
                  <c:v>фев</c:v>
                </c:pt>
                <c:pt idx="26">
                  <c:v>март</c:v>
                </c:pt>
                <c:pt idx="27">
                  <c:v>апр</c:v>
                </c:pt>
                <c:pt idx="28">
                  <c:v>май</c:v>
                </c:pt>
                <c:pt idx="29">
                  <c:v>июнь</c:v>
                </c:pt>
                <c:pt idx="30">
                  <c:v>июль</c:v>
                </c:pt>
                <c:pt idx="31">
                  <c:v>авг</c:v>
                </c:pt>
                <c:pt idx="32">
                  <c:v>сен</c:v>
                </c:pt>
                <c:pt idx="33">
                  <c:v>окт</c:v>
                </c:pt>
                <c:pt idx="34">
                  <c:v>ноя</c:v>
                </c:pt>
                <c:pt idx="35">
                  <c:v>дек</c:v>
                </c:pt>
                <c:pt idx="36">
                  <c:v>янв.13</c:v>
                </c:pt>
                <c:pt idx="37">
                  <c:v>фев</c:v>
                </c:pt>
                <c:pt idx="38">
                  <c:v>март</c:v>
                </c:pt>
                <c:pt idx="39">
                  <c:v>апр</c:v>
                </c:pt>
                <c:pt idx="40">
                  <c:v>май</c:v>
                </c:pt>
                <c:pt idx="41">
                  <c:v>июнь</c:v>
                </c:pt>
                <c:pt idx="42">
                  <c:v>июль</c:v>
                </c:pt>
                <c:pt idx="43">
                  <c:v>авг</c:v>
                </c:pt>
                <c:pt idx="44">
                  <c:v>сент</c:v>
                </c:pt>
                <c:pt idx="45">
                  <c:v>окт</c:v>
                </c:pt>
                <c:pt idx="46">
                  <c:v>ноя</c:v>
                </c:pt>
                <c:pt idx="47">
                  <c:v>дек</c:v>
                </c:pt>
                <c:pt idx="48">
                  <c:v>янв.14</c:v>
                </c:pt>
                <c:pt idx="49">
                  <c:v>фев</c:v>
                </c:pt>
                <c:pt idx="50">
                  <c:v>март</c:v>
                </c:pt>
                <c:pt idx="51">
                  <c:v>апр</c:v>
                </c:pt>
                <c:pt idx="52">
                  <c:v>май</c:v>
                </c:pt>
                <c:pt idx="53">
                  <c:v>июнь</c:v>
                </c:pt>
                <c:pt idx="54">
                  <c:v>июль</c:v>
                </c:pt>
                <c:pt idx="55">
                  <c:v>авг</c:v>
                </c:pt>
                <c:pt idx="56">
                  <c:v>сент</c:v>
                </c:pt>
                <c:pt idx="57">
                  <c:v>окт</c:v>
                </c:pt>
                <c:pt idx="58">
                  <c:v>ноя</c:v>
                </c:pt>
                <c:pt idx="59">
                  <c:v>дек</c:v>
                </c:pt>
              </c:strCache>
            </c:strRef>
          </c:cat>
          <c:val>
            <c:numRef>
              <c:f>Sheet1!$B$4:$BI$4</c:f>
              <c:numCache>
                <c:formatCode>General</c:formatCode>
                <c:ptCount val="6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878912"/>
        <c:axId val="138003584"/>
      </c:lineChart>
      <c:catAx>
        <c:axId val="13787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-354000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003584"/>
        <c:crossesAt val="500"/>
        <c:auto val="1"/>
        <c:lblAlgn val="ctr"/>
        <c:lblOffset val="100"/>
        <c:tickLblSkip val="2"/>
        <c:tickMarkSkip val="1"/>
        <c:noMultiLvlLbl val="0"/>
      </c:catAx>
      <c:valAx>
        <c:axId val="138003584"/>
        <c:scaling>
          <c:orientation val="minMax"/>
          <c:max val="1000"/>
          <c:min val="500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878912"/>
        <c:crosses val="autoZero"/>
        <c:crossBetween val="between"/>
        <c:majorUnit val="50"/>
        <c:minorUnit val="10"/>
      </c:valAx>
      <c:spPr>
        <a:solidFill>
          <a:srgbClr val="C0C0C0"/>
        </a:solidFill>
        <a:ln w="1271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909612625538014E-2"/>
          <c:y val="0.1749271137026239"/>
          <c:w val="0.85796269727403152"/>
          <c:h val="0.67930029154518956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Индекс</c:v>
                </c:pt>
              </c:strCache>
            </c:strRef>
          </c:tx>
          <c:spPr>
            <a:ln w="1271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-4.5104728833053172E-2"/>
                  <c:y val="-6.7099955735936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573697248518006E-2"/>
                  <c:y val="-6.63312572864259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3838951310861423E-2"/>
                  <c:y val="-5.4693861010841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0475944605285E-2"/>
                  <c:y val="4.3573711701878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112</c:v>
                </c:pt>
                <c:pt idx="2">
                  <c:v>128</c:v>
                </c:pt>
                <c:pt idx="3">
                  <c:v>135</c:v>
                </c:pt>
                <c:pt idx="4">
                  <c:v>142</c:v>
                </c:pt>
                <c:pt idx="5">
                  <c:v>141</c:v>
                </c:pt>
                <c:pt idx="6">
                  <c:v>168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8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031104"/>
        <c:axId val="138032640"/>
      </c:line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Тем роста , %</c:v>
                </c:pt>
              </c:strCache>
            </c:strRef>
          </c:tx>
          <c:spPr>
            <a:ln w="12718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453183520599252E-2"/>
                  <c:y val="-5.542359461599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1123595505618E-2"/>
                  <c:y val="-4.7505938242280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405460202306174E-2"/>
                  <c:y val="-6.4258951004046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519419623108908E-2"/>
                  <c:y val="5.17128945580139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589953994514731E-2"/>
                  <c:y val="5.1052985953952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0338333652282962E-6"/>
                  <c:y val="1.1866267455734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024119935827694E-2"/>
                  <c:y val="3.9641381460980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14</c:v>
                </c:pt>
                <c:pt idx="3">
                  <c:v>5.6</c:v>
                </c:pt>
                <c:pt idx="4">
                  <c:v>5.2</c:v>
                </c:pt>
                <c:pt idx="5">
                  <c:v>-0.6</c:v>
                </c:pt>
                <c:pt idx="6">
                  <c:v>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034176"/>
        <c:axId val="138175232"/>
      </c:lineChart>
      <c:catAx>
        <c:axId val="1380311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8032640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38032640"/>
        <c:scaling>
          <c:orientation val="minMax"/>
          <c:max val="175"/>
          <c:min val="10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8031104"/>
        <c:crosses val="autoZero"/>
        <c:crossBetween val="between"/>
        <c:majorUnit val="15"/>
        <c:minorUnit val="10"/>
      </c:valAx>
      <c:catAx>
        <c:axId val="138034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8175232"/>
        <c:crossesAt val="0"/>
        <c:auto val="0"/>
        <c:lblAlgn val="ctr"/>
        <c:lblOffset val="100"/>
        <c:noMultiLvlLbl val="0"/>
      </c:catAx>
      <c:valAx>
        <c:axId val="138175232"/>
        <c:scaling>
          <c:orientation val="minMax"/>
          <c:max val="20"/>
          <c:min val="-5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8034176"/>
        <c:crosses val="max"/>
        <c:crossBetween val="between"/>
        <c:majorUnit val="5"/>
        <c:minorUnit val="1"/>
      </c:valAx>
      <c:spPr>
        <a:solidFill>
          <a:srgbClr val="C0C0C0"/>
        </a:solidFill>
        <a:ln w="12718">
          <a:solidFill>
            <a:srgbClr val="808080"/>
          </a:solidFill>
          <a:prstDash val="solid"/>
        </a:ln>
      </c:spPr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32281205164992821"/>
          <c:y val="8.7463556851311956E-3"/>
          <c:w val="0.36728837876614057"/>
          <c:h val="8.1632653061224483E-2"/>
        </c:manualLayout>
      </c:layout>
      <c:overlay val="0"/>
      <c:spPr>
        <a:solidFill>
          <a:srgbClr val="FFFFFF"/>
        </a:solidFill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2015-01-17T14:46:00Z</dcterms:created>
  <dcterms:modified xsi:type="dcterms:W3CDTF">2015-01-26T10:21:00Z</dcterms:modified>
</cp:coreProperties>
</file>