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9B" w:rsidRPr="0076059B" w:rsidRDefault="0076059B" w:rsidP="007605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605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 была впервые опубликована в журнале «Управление магазина»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7605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№ 5</w:t>
      </w:r>
      <w:r w:rsidRPr="007605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2014 г.</w:t>
      </w:r>
    </w:p>
    <w:p w:rsidR="0076059B" w:rsidRDefault="0076059B" w:rsidP="007605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7617" w:rsidRPr="0076059B" w:rsidRDefault="0076059B" w:rsidP="007605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Карта позиционирования как альтернатива </w:t>
      </w:r>
      <w:r w:rsidRPr="00760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SWOT</w:t>
      </w:r>
      <w:r w:rsidRPr="00760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анализу при разработке маркетинговой стратегии торговой компании</w:t>
      </w:r>
    </w:p>
    <w:p w:rsidR="007A49BE" w:rsidRPr="0076059B" w:rsidRDefault="007A49BE" w:rsidP="0076059B">
      <w:pPr>
        <w:shd w:val="clear" w:color="auto" w:fill="FFFFFF"/>
        <w:spacing w:after="0" w:line="240" w:lineRule="auto"/>
        <w:ind w:firstLine="709"/>
        <w:contextualSpacing/>
        <w:jc w:val="right"/>
        <w:outlineLvl w:val="2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Автор: к.т.н. </w:t>
      </w:r>
      <w:proofErr w:type="spellStart"/>
      <w:r w:rsidRPr="0076059B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Илюха</w:t>
      </w:r>
      <w:proofErr w:type="spellEnd"/>
      <w:r w:rsidRPr="0076059B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Сергей Александрович</w:t>
      </w:r>
    </w:p>
    <w:p w:rsidR="007A49BE" w:rsidRPr="0076059B" w:rsidRDefault="007A49BE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outlineLvl w:val="2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Большинство наиболее известных современных методов анализа маркетинговой информации </w:t>
      </w:r>
      <w:proofErr w:type="gramStart"/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Бостонская матрица, </w:t>
      </w:r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анализ, матрица возможностей и угроз и т.д. ) являются производными от карт</w:t>
      </w:r>
      <w:r w:rsidR="00F71FFD"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ы ( схемы</w:t>
      </w:r>
      <w:r w:rsidRPr="0076059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) позиционирования. В данной статье показано, что возвращение при анализе информации к картам позиционирования позволяет существенно упростить количественную оценку результатов маркетинговых исследований, процедуру формирования маркетинговых стратегий компании и предварительную оценку их эффективности.</w:t>
      </w:r>
    </w:p>
    <w:p w:rsidR="0076059B" w:rsidRDefault="0076059B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04DA3" w:rsidRPr="0076059B" w:rsidRDefault="007A49BE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современном мире рыночная ситуация постоянно изменяется. На рынок выходят новые игроки, появляются новые продукты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изменяется экономическая ситуация, появляются законы, в корне изменяющие правила игры на рынке. Стратегические цели компаний устаревают до того, как были достигнуты. В этих условиях для того, чтобы успешно работать игроки рынка должны изменять свои стратегии в соответствии с изменяющейся рыночной ситуацией. Одним из наиболее широко используемых в современном маркетинге и менеджменте методом разработки стратегий является метод, основанный на 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 анализе</w:t>
      </w:r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proofErr w:type="gramStart"/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[ </w:t>
      </w:r>
      <w:proofErr w:type="gramEnd"/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1 ]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A7EF9" w:rsidRPr="0076059B" w:rsidRDefault="00BA7EF9" w:rsidP="0076059B">
      <w:pPr>
        <w:pStyle w:val="3"/>
        <w:numPr>
          <w:ilvl w:val="0"/>
          <w:numId w:val="10"/>
        </w:numPr>
        <w:spacing w:before="0" w:beforeAutospacing="0" w:after="0" w:afterAutospacing="0"/>
        <w:ind w:firstLine="709"/>
        <w:contextualSpacing/>
        <w:rPr>
          <w:rFonts w:ascii="Arial" w:hAnsi="Arial" w:cs="Arial"/>
          <w:b w:val="0"/>
          <w:i/>
          <w:sz w:val="24"/>
          <w:szCs w:val="24"/>
          <w:shd w:val="clear" w:color="auto" w:fill="FFFFFF"/>
        </w:rPr>
      </w:pP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Краткое описание  </w:t>
      </w: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  <w:lang w:val="en-US"/>
        </w:rPr>
        <w:t>SWOT</w:t>
      </w: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анализа.</w:t>
      </w:r>
    </w:p>
    <w:p w:rsidR="00D77617" w:rsidRPr="0076059B" w:rsidRDefault="00D77617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Методология SWOT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анализа предполагает, во-первых, выявление внутренних сильных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proofErr w:type="gramEnd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Strengts</w:t>
      </w:r>
      <w:proofErr w:type="spellEnd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(силы)),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слабых 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Weaknesses</w:t>
      </w:r>
      <w:proofErr w:type="spellEnd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(слабости))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сторон фирмы, а также внешних возможностей 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Opportunities</w:t>
      </w:r>
      <w:proofErr w:type="spellEnd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(благоприятные возможности))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угроз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 </w:t>
      </w:r>
      <w:proofErr w:type="spellStart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Тhreats</w:t>
      </w:r>
      <w:proofErr w:type="spellEnd"/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(угрозы))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и, во-вторых, установление связей между ними. 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первом этапе проведения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анализа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ра</w:t>
      </w:r>
      <w:r w:rsidR="00B04DA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зработке стратегии компании необходимо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дать ответы на следующие основные вопросы:</w:t>
      </w:r>
    </w:p>
    <w:p w:rsidR="00D77617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 ли у компании конкурентные преимущества;</w:t>
      </w:r>
    </w:p>
    <w:p w:rsidR="00D77617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из сильных сторон компании могут перейти в конкурентное преимущество;</w:t>
      </w:r>
    </w:p>
    <w:p w:rsidR="00D77617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 ли у компан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ии уя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звимые места;</w:t>
      </w:r>
    </w:p>
    <w:p w:rsidR="00D77617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слабости компании могут превратиться в уязвимости;</w:t>
      </w:r>
    </w:p>
    <w:p w:rsidR="00D77617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позитивные тенденции внешней среды дают компании наибольшие возможности при достижении цели;</w:t>
      </w:r>
    </w:p>
    <w:p w:rsidR="00CC234D" w:rsidRPr="0076059B" w:rsidRDefault="00D77617" w:rsidP="0076059B">
      <w:pPr>
        <w:pStyle w:val="ac"/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негативные тенденции рынка  представляют наибольшую опасность;</w:t>
      </w:r>
    </w:p>
    <w:p w:rsidR="00A22B1C" w:rsidRPr="0076059B" w:rsidRDefault="00A22B1C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Результаты анализа маркетинговой информации формируются в виде матрицы следующего вида:</w:t>
      </w:r>
    </w:p>
    <w:p w:rsidR="00BA7EF9" w:rsidRPr="0076059B" w:rsidRDefault="00CC234D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Основные правила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которые необходимо выполнять для успешного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проведения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анализа конкурентной среды:</w:t>
      </w:r>
    </w:p>
    <w:p w:rsidR="00CC234D" w:rsidRPr="0076059B" w:rsidRDefault="00CC234D" w:rsidP="0076059B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Ограничить количество исследуемых ближайших конкурентов и проводить исследование только в рамках выбранного сегмента рынка;</w:t>
      </w:r>
    </w:p>
    <w:p w:rsidR="00CC234D" w:rsidRPr="0076059B" w:rsidRDefault="00CC234D" w:rsidP="0076059B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исследовании маркетинговой среды использовать максимально достоверные виды информации и проводить всесторонний анализ.</w:t>
      </w:r>
    </w:p>
    <w:p w:rsidR="00CC234D" w:rsidRPr="0076059B" w:rsidRDefault="00CC234D" w:rsidP="0076059B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Соблюдать корректность при отнесении различных фактов при анализе. Для этого целесообразно на этапе предварительного исследования максимально использовать различные виды </w:t>
      </w:r>
      <w:proofErr w:type="spell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шкалирования</w:t>
      </w:r>
      <w:proofErr w:type="spellEnd"/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[ </w:t>
      </w:r>
      <w:proofErr w:type="gramEnd"/>
      <w:r w:rsidR="00BE4D6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2 ]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77617" w:rsidRPr="0076059B" w:rsidRDefault="00CC234D" w:rsidP="0076059B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оценке факторов опираться на оценки потребителей и экспертов, а не на мнение топ менеджмента фирмы.</w:t>
      </w:r>
    </w:p>
    <w:p w:rsidR="00BA7EF9" w:rsidRPr="0076059B" w:rsidRDefault="00C51A52" w:rsidP="0076059B">
      <w:pPr>
        <w:pStyle w:val="3"/>
        <w:numPr>
          <w:ilvl w:val="0"/>
          <w:numId w:val="10"/>
        </w:numPr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  <w:shd w:val="clear" w:color="auto" w:fill="FFFFFF"/>
        </w:rPr>
      </w:pP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Практическое использование </w:t>
      </w: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  <w:lang w:val="en-US"/>
        </w:rPr>
        <w:t>SWOT</w:t>
      </w: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анализа при разработке маркетинговой стратегии предприятия.</w:t>
      </w:r>
      <w:r w:rsidR="00C63361"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 xml:space="preserve"> </w:t>
      </w:r>
    </w:p>
    <w:p w:rsidR="00BA7EF9" w:rsidRPr="0076059B" w:rsidRDefault="00BA7EF9" w:rsidP="0076059B">
      <w:pPr>
        <w:pStyle w:val="ac"/>
        <w:spacing w:after="0" w:line="240" w:lineRule="auto"/>
        <w:ind w:left="-567" w:firstLine="709"/>
        <w:jc w:val="both"/>
        <w:rPr>
          <w:rFonts w:ascii="Arial" w:hAnsi="Arial" w:cs="Arial"/>
          <w:bCs/>
          <w:sz w:val="24"/>
          <w:szCs w:val="24"/>
        </w:rPr>
      </w:pPr>
      <w:r w:rsidRPr="0076059B">
        <w:rPr>
          <w:rFonts w:ascii="Arial" w:hAnsi="Arial" w:cs="Arial"/>
          <w:bCs/>
          <w:sz w:val="24"/>
          <w:szCs w:val="24"/>
        </w:rPr>
        <w:t xml:space="preserve">Рассмотрение всех современных методов графического представления и анализа маркетинговой информации позволило выявить в них некоторые общие черты. Более глубокое изучение истории маркетинга показало, что существует такой метод анализа маркетинговой информации, как карты </w:t>
      </w:r>
      <w:proofErr w:type="gramStart"/>
      <w:r w:rsidRPr="0076059B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76059B">
        <w:rPr>
          <w:rFonts w:ascii="Arial" w:hAnsi="Arial" w:cs="Arial"/>
          <w:bCs/>
          <w:sz w:val="24"/>
          <w:szCs w:val="24"/>
        </w:rPr>
        <w:t xml:space="preserve">схемы ) позиционирования. </w:t>
      </w:r>
    </w:p>
    <w:p w:rsidR="00BA7EF9" w:rsidRPr="0076059B" w:rsidRDefault="00BA7EF9" w:rsidP="0076059B">
      <w:pPr>
        <w:pStyle w:val="ac"/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76059B">
        <w:rPr>
          <w:rFonts w:ascii="Arial" w:hAnsi="Arial" w:cs="Arial"/>
          <w:bCs/>
          <w:sz w:val="24"/>
          <w:szCs w:val="24"/>
        </w:rPr>
        <w:t>Карта (схема) позиционирования (восприятия)</w:t>
      </w:r>
      <w:r w:rsidRPr="0076059B">
        <w:rPr>
          <w:rFonts w:ascii="Arial" w:hAnsi="Arial" w:cs="Arial"/>
          <w:sz w:val="24"/>
          <w:szCs w:val="24"/>
        </w:rPr>
        <w:t xml:space="preserve"> - это графическая схема на основе двухмерной системы координат, на которой представлено, как потребители </w:t>
      </w:r>
      <w:proofErr w:type="gramStart"/>
      <w:r w:rsidRPr="0076059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6059B">
        <w:rPr>
          <w:rFonts w:ascii="Arial" w:hAnsi="Arial" w:cs="Arial"/>
          <w:sz w:val="24"/>
          <w:szCs w:val="24"/>
        </w:rPr>
        <w:t xml:space="preserve">эксперты ) воспринимают различные объекты исследования. Оси координат соответствуют двум выбранным для построения карты областям конкуренции </w:t>
      </w:r>
      <w:proofErr w:type="gramStart"/>
      <w:r w:rsidRPr="0076059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6059B">
        <w:rPr>
          <w:rFonts w:ascii="Arial" w:hAnsi="Arial" w:cs="Arial"/>
          <w:sz w:val="24"/>
          <w:szCs w:val="24"/>
        </w:rPr>
        <w:t>исследуемым показателям ). Выбор областей конкуренции осуществляется в зависимости от целей анализа - чаще всего используются наиболее важные факторы для определенного сегмента рынка.</w:t>
      </w:r>
    </w:p>
    <w:p w:rsidR="00C51A52" w:rsidRPr="0076059B" w:rsidRDefault="00C63361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Продолжая рассмотрение нашей гипотезы о том, что практически все методы исследования рынка вышли из карт позиционирования</w:t>
      </w:r>
      <w:r w:rsidR="00021D32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посмотрим, как </w:t>
      </w:r>
      <w:r w:rsidR="00021D32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021D32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 может быть представлен с помощью 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такой карты</w:t>
      </w:r>
      <w:r w:rsidR="00021D32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22B1C" w:rsidRPr="0076059B" w:rsidRDefault="00A22B1C" w:rsidP="0076059B">
      <w:pPr>
        <w:pStyle w:val="3"/>
        <w:numPr>
          <w:ilvl w:val="0"/>
          <w:numId w:val="10"/>
        </w:numPr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  <w:shd w:val="clear" w:color="auto" w:fill="FFFFFF"/>
        </w:rPr>
      </w:pP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>Предварительная оценка маркетинговой информации.</w:t>
      </w:r>
    </w:p>
    <w:p w:rsidR="000004C8" w:rsidRPr="0076059B" w:rsidRDefault="00021D32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Допустим, мы рассматриваем 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четыре фактора </w:t>
      </w:r>
      <w:proofErr w:type="gramStart"/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показателя ) среды маркетинга фирмы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уровень технологий, уровень подготовки персонала, демографическая ситуация ( рост населения ), доходы на душу населен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ия ( выбор показателей произвольный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 Результаты оценки факторов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сведем в таблицу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За ноль примем значение, которое является нормальным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средним ) для данного фактора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Уровень показателя можно оценивать, допустим, по </w:t>
      </w:r>
      <w:r w:rsidR="007B716D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симметричной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семибал</w:t>
      </w:r>
      <w:r w:rsidR="007B716D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ьной </w:t>
      </w:r>
      <w:r w:rsidR="007B716D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шкале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004C8" w:rsidRPr="0076059B" w:rsidRDefault="000004C8" w:rsidP="0076059B">
      <w:pPr>
        <w:spacing w:after="0" w:line="240" w:lineRule="auto"/>
        <w:ind w:left="-567"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Таблица 1. Оценка маркетинговой среды с использованием двумерной карты позиционирования.</w:t>
      </w:r>
    </w:p>
    <w:p w:rsidR="00021D32" w:rsidRPr="0076059B" w:rsidRDefault="0023264C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9DD869" wp14:editId="3184030C">
            <wp:extent cx="5370830" cy="32613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716D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072F3" w:rsidRPr="0076059B" w:rsidRDefault="000004C8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данном случае величина Х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показывает, насколько пози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тивно значения данного фактора для сети, величина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указывает на 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принадлежность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фактора 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 внутренней </w:t>
      </w:r>
      <w:proofErr w:type="gramStart"/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&gt;0 ) или внешней ( 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&lt;0 ) среде маркетинга. Введение простейшего двузначного кода в этом случае позволяет автоматически делить показатели </w:t>
      </w:r>
      <w:proofErr w:type="gramStart"/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позитивные и негативные 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для сети.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Вариант 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карты позиционирования приведен  на рис. 1. ( Для удобства визуального восприятия немного изменена последовательность визуального представления секторов, для полного соответствия классической таблице 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анализа положительное направление оси Х необходимо выбрать справа налево</w:t>
      </w:r>
      <w:proofErr w:type="gramStart"/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072F3" w:rsidRPr="0076059B" w:rsidRDefault="00C072F3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Томпсон и </w:t>
      </w:r>
      <w:proofErr w:type="spell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Стрикланд</w:t>
      </w:r>
      <w:proofErr w:type="spellEnd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стоявшие у истоков создания метода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анализа, предложили создавать базу возможных характеристик, по которым производится анализ.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 показывает высокую эффективность только в том случае, если производится систематически и исследуются одни и те же параметры. Это позволит создать полную и объективную картину положения фирмы на рынке и оценивать динамику его изменения.</w:t>
      </w:r>
    </w:p>
    <w:p w:rsidR="0023264C" w:rsidRPr="0076059B" w:rsidRDefault="0023264C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075A11A" wp14:editId="2BB22FB3">
            <wp:extent cx="5950460" cy="37415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60" cy="3741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64C" w:rsidRPr="0076059B" w:rsidRDefault="000004C8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</w:t>
      </w:r>
      <w:r w:rsid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ис. 1</w:t>
      </w:r>
      <w:r w:rsidR="0023264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758C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Представление результатов анализа маркетинговой среды с помощью карты позиционирования.</w:t>
      </w:r>
    </w:p>
    <w:p w:rsidR="00C7763A" w:rsidRPr="0076059B" w:rsidRDefault="0076059B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Оценка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всей 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совокупности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возможных</w:t>
      </w:r>
      <w:r w:rsidR="00C072F3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факторов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используемых при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анализе, показывает, что практически все они имеют «зеркальный» характер.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Следовательно, таблицу для 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анализа можно преобразовать в некий опросник, в левом столбце которого будет стоять фактор и в зависимости от его значения в соотношен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ии со средним значением для данного сектора рынка</w:t>
      </w:r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он будет попадать или в диапазон сильных сторон </w:t>
      </w:r>
      <w:proofErr w:type="gramStart"/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C63361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возможностей ) или слабостей ( угроз ). 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Компания, исследование кот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0004C8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рой прово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дится,</w:t>
      </w:r>
      <w:r w:rsidR="00C51A52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 дополнить данный список своими факторами</w:t>
      </w:r>
      <w:r w:rsidR="00C7763A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Для обеспечения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маркетинговой службы </w:t>
      </w:r>
      <w:r w:rsidR="00C7763A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достаточной информации для проведения анализа конкурентной среды компании необходимо:</w:t>
      </w:r>
    </w:p>
    <w:p w:rsidR="00C7763A" w:rsidRPr="0076059B" w:rsidRDefault="00C7763A" w:rsidP="0076059B">
      <w:pPr>
        <w:pStyle w:val="ac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Проводить исследования маркетинговой среды с определенной периодичностью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оптимальный период – один раз в шесть месяцев ).</w:t>
      </w:r>
    </w:p>
    <w:p w:rsidR="00D77617" w:rsidRPr="0076059B" w:rsidRDefault="00C7763A" w:rsidP="0076059B">
      <w:pPr>
        <w:pStyle w:val="ac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Исследовать не только текущее значение каждого показателя, но и его изменение в динамике.</w:t>
      </w:r>
    </w:p>
    <w:p w:rsidR="006C2FB3" w:rsidRPr="0076059B" w:rsidRDefault="006C2FB3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следующем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этапе проведения анализа необходимо оценить возможную степен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 воздействия каждого фактора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коммерческую деятельность компании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анализе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определение степени воздействия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фактора, как правило,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производится методом экспертных оценок менеджментом компании. Результаты оценки по данному методу, не всегда достоверны и могут иметь субъективный характер.</w:t>
      </w:r>
    </w:p>
    <w:p w:rsidR="00672769" w:rsidRPr="0076059B" w:rsidRDefault="00672769" w:rsidP="0076059B">
      <w:pPr>
        <w:pStyle w:val="3"/>
        <w:spacing w:before="0" w:beforeAutospacing="0" w:after="0" w:afterAutospacing="0"/>
        <w:ind w:left="720" w:firstLine="709"/>
        <w:contextualSpacing/>
        <w:rPr>
          <w:rFonts w:ascii="Arial" w:hAnsi="Arial" w:cs="Arial"/>
          <w:b w:val="0"/>
          <w:i/>
          <w:noProof/>
          <w:sz w:val="24"/>
          <w:szCs w:val="24"/>
          <w:shd w:val="clear" w:color="auto" w:fill="FFFFFF"/>
        </w:rPr>
      </w:pPr>
      <w:r w:rsidRPr="0076059B">
        <w:rPr>
          <w:rFonts w:ascii="Arial" w:hAnsi="Arial" w:cs="Arial"/>
          <w:b w:val="0"/>
          <w:i/>
          <w:sz w:val="24"/>
          <w:szCs w:val="24"/>
          <w:shd w:val="clear" w:color="auto" w:fill="FFFFFF"/>
        </w:rPr>
        <w:t>4.Количественная оценка факторов маркетинга.</w:t>
      </w:r>
    </w:p>
    <w:p w:rsidR="00E9580B" w:rsidRPr="0076059B" w:rsidRDefault="00E9580B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 же время, рассмотренная выше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методика 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оценки факторов маркетинговой среды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методом </w:t>
      </w:r>
      <w:proofErr w:type="spell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шкалирования</w:t>
      </w:r>
      <w:proofErr w:type="spellEnd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позволяе</w:t>
      </w:r>
      <w:r w:rsidR="00A22B1C"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 исключить субъективные оценки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данном этапе. Для количественной оценки степени воздействия необходимо преобразовать указанные на рис.</w:t>
      </w:r>
      <w:r w:rsid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прямоугольные координаты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полярные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α</w:t>
      </w:r>
      <w:r w:rsidRPr="007605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F27BFE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22B1C" w:rsidRPr="0076059B" w:rsidRDefault="00A22B1C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Преобразование прямоугольных координат в полярные производится по следующим формулам:</w:t>
      </w:r>
    </w:p>
    <w:p w:rsidR="00A22B1C" w:rsidRPr="0076059B" w:rsidRDefault="00A22B1C" w:rsidP="0076059B">
      <w:pPr>
        <w:pStyle w:val="ac"/>
        <w:spacing w:after="0" w:line="240" w:lineRule="auto"/>
        <w:ind w:left="-567" w:firstLine="709"/>
        <w:jc w:val="right"/>
        <w:rPr>
          <w:rFonts w:ascii="Arial" w:eastAsia="Times New Roman" w:hAnsi="Arial" w:cs="Arial"/>
          <w:i/>
          <w:noProof/>
          <w:color w:val="000000"/>
          <w:sz w:val="24"/>
          <w:szCs w:val="24"/>
          <w:shd w:val="clear" w:color="auto" w:fill="FFFFFF"/>
          <w:lang w:eastAsia="ru-RU"/>
        </w:rPr>
      </w:pPr>
      <m:oMath>
        <m:r>
          <w:rPr>
            <w:rFonts w:ascii="Cambria Math" w:eastAsia="Times New Roman" w:hAnsi="Cambria Math" w:cs="Arial"/>
            <w:noProof/>
            <w:color w:val="000000"/>
            <w:sz w:val="40"/>
            <w:szCs w:val="40"/>
            <w:shd w:val="clear" w:color="auto" w:fill="FFFFFF"/>
            <w:lang w:eastAsia="ru-RU"/>
          </w:rPr>
          <m:t xml:space="preserve">r= 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000000"/>
                <w:sz w:val="40"/>
                <w:szCs w:val="40"/>
                <w:shd w:val="clear" w:color="auto" w:fill="FFFFFF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noProof/>
                    <w:color w:val="000000"/>
                    <w:sz w:val="40"/>
                    <w:szCs w:val="40"/>
                    <w:shd w:val="clear" w:color="auto" w:fill="FFFFFF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noProof/>
                    <w:color w:val="000000"/>
                    <w:sz w:val="40"/>
                    <w:szCs w:val="40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noProof/>
                    <w:color w:val="000000"/>
                    <w:sz w:val="40"/>
                    <w:szCs w:val="40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noProof/>
                <w:color w:val="000000"/>
                <w:sz w:val="40"/>
                <w:szCs w:val="40"/>
                <w:shd w:val="clear" w:color="auto" w:fill="FFFFFF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noProof/>
                    <w:color w:val="000000"/>
                    <w:sz w:val="40"/>
                    <w:szCs w:val="40"/>
                    <w:shd w:val="clear" w:color="auto" w:fill="FFFFFF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noProof/>
                    <w:color w:val="000000"/>
                    <w:sz w:val="40"/>
                    <w:szCs w:val="40"/>
                    <w:shd w:val="clear" w:color="auto" w:fill="FFFFFF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noProof/>
                    <w:color w:val="000000"/>
                    <w:sz w:val="40"/>
                    <w:szCs w:val="40"/>
                    <w:shd w:val="clear" w:color="auto" w:fill="FFFFFF"/>
                  </w:rPr>
                  <m:t>2</m:t>
                </m:r>
              </m:sup>
            </m:sSup>
          </m:e>
        </m:rad>
      </m:oMath>
      <w:r w:rsidR="00C072F3" w:rsidRPr="0076059B">
        <w:rPr>
          <w:rFonts w:ascii="Arial" w:eastAsia="Times New Roman" w:hAnsi="Arial" w:cs="Arial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( 1 )</w:t>
      </w:r>
    </w:p>
    <w:p w:rsidR="00A22B1C" w:rsidRPr="0076059B" w:rsidRDefault="00A22B1C" w:rsidP="0076059B">
      <w:pPr>
        <w:pStyle w:val="ac"/>
        <w:spacing w:after="0" w:line="240" w:lineRule="auto"/>
        <w:ind w:left="-567" w:firstLine="709"/>
        <w:jc w:val="right"/>
        <w:rPr>
          <w:rFonts w:ascii="Arial" w:eastAsia="Times New Roman" w:hAnsi="Arial" w:cs="Arial"/>
          <w:i/>
          <w:noProof/>
          <w:color w:val="000000"/>
          <w:sz w:val="24"/>
          <w:szCs w:val="24"/>
          <w:shd w:val="clear" w:color="auto" w:fill="FFFFFF"/>
          <w:lang w:eastAsia="ru-RU"/>
        </w:rPr>
      </w:pPr>
      <m:oMath>
        <m:r>
          <w:rPr>
            <w:rFonts w:ascii="Cambria Math" w:eastAsia="Times New Roman" w:hAnsi="Cambria Math" w:cs="Arial"/>
            <w:noProof/>
            <w:color w:val="000000"/>
            <w:sz w:val="40"/>
            <w:szCs w:val="40"/>
            <w:shd w:val="clear" w:color="auto" w:fill="FFFFFF"/>
            <w:lang w:eastAsia="ru-RU"/>
          </w:rPr>
          <m:t>∝ =</m:t>
        </m:r>
        <m:r>
          <w:rPr>
            <w:rFonts w:ascii="Cambria Math" w:eastAsia="Times New Roman" w:hAnsi="Cambria Math" w:cs="Arial"/>
            <w:noProof/>
            <w:color w:val="000000"/>
            <w:sz w:val="40"/>
            <w:szCs w:val="40"/>
            <w:shd w:val="clear" w:color="auto" w:fill="FFFFFF"/>
            <w:lang w:val="en-US" w:eastAsia="ru-RU"/>
          </w:rPr>
          <m:t>arctg</m:t>
        </m:r>
        <m:r>
          <w:rPr>
            <w:rFonts w:ascii="Cambria Math" w:eastAsia="Times New Roman" w:hAnsi="Cambria Math" w:cs="Arial"/>
            <w:noProof/>
            <w:color w:val="000000"/>
            <w:sz w:val="40"/>
            <w:szCs w:val="40"/>
            <w:shd w:val="clear" w:color="auto" w:fill="FFFFFF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noProof/>
                <w:color w:val="000000"/>
                <w:sz w:val="40"/>
                <w:szCs w:val="40"/>
                <w:shd w:val="clear" w:color="auto" w:fill="FFFFFF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noProof/>
                <w:color w:val="000000"/>
                <w:sz w:val="40"/>
                <w:szCs w:val="40"/>
                <w:shd w:val="clear" w:color="auto" w:fill="FFFFFF"/>
                <w:lang w:val="en-US" w:eastAsia="ru-RU"/>
              </w:rPr>
              <m:t>y</m:t>
            </m:r>
          </m:num>
          <m:den>
            <m:r>
              <w:rPr>
                <w:rFonts w:ascii="Cambria Math" w:eastAsia="Times New Roman" w:hAnsi="Cambria Math" w:cs="Arial"/>
                <w:noProof/>
                <w:color w:val="000000"/>
                <w:sz w:val="40"/>
                <w:szCs w:val="40"/>
                <w:shd w:val="clear" w:color="auto" w:fill="FFFFFF"/>
                <w:lang w:val="en-US" w:eastAsia="ru-RU"/>
              </w:rPr>
              <m:t>x</m:t>
            </m:r>
          </m:den>
        </m:f>
        <m:r>
          <w:rPr>
            <w:rFonts w:ascii="Cambria Math" w:eastAsia="Times New Roman" w:hAnsi="Cambria Math" w:cs="Arial"/>
            <w:noProof/>
            <w:color w:val="000000"/>
            <w:sz w:val="40"/>
            <w:szCs w:val="40"/>
            <w:shd w:val="clear" w:color="auto" w:fill="FFFFFF"/>
            <w:lang w:eastAsia="ru-RU"/>
          </w:rPr>
          <m:t xml:space="preserve"> </m:t>
        </m:r>
      </m:oMath>
      <w:r w:rsidR="00C072F3" w:rsidRPr="0076059B">
        <w:rPr>
          <w:rFonts w:ascii="Arial" w:eastAsia="Times New Roman" w:hAnsi="Arial" w:cs="Arial"/>
          <w:i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( 2 )</w:t>
      </w:r>
    </w:p>
    <w:p w:rsidR="00A22B1C" w:rsidRPr="0076059B" w:rsidRDefault="00A22B1C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После преобраз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ования характеристик факторов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в полярную систему координат необходимо установить правила их оценки. Степень воздействия на деятельность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компании определяется модулем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вектора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. Смысл данног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о показателя следующий: фактор, оказывающий существенное воздействие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на деятельность компании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( 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= 3 )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дающий ей большое рыночное преимущество ( 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= 3 )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, будет иметь модуль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4,24, что будет характеризовать данный показатель как показатель, имеющий существенное влияние.</w:t>
      </w:r>
    </w:p>
    <w:p w:rsidR="00667B5D" w:rsidRPr="0076059B" w:rsidRDefault="00332572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DCA3EA" wp14:editId="4489498F">
            <wp:extent cx="5728382" cy="360194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22" cy="3603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572" w:rsidRPr="0076059B" w:rsidRDefault="00C3286F" w:rsidP="0076059B">
      <w:pPr>
        <w:pStyle w:val="ac"/>
        <w:spacing w:after="0" w:line="240" w:lineRule="auto"/>
        <w:ind w:left="-567" w:firstLine="709"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Рис. 2</w:t>
      </w:r>
      <w:r w:rsidR="00A22B1C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32572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Представление результатов </w:t>
      </w:r>
      <w:r w:rsidR="00332572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332572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анализа в полярной системе координат. </w:t>
      </w:r>
    </w:p>
    <w:p w:rsidR="00F45BC4" w:rsidRPr="0076059B" w:rsidRDefault="00667B5D" w:rsidP="0076059B">
      <w:pPr>
        <w:spacing w:after="0" w:line="240" w:lineRule="auto"/>
        <w:ind w:left="-567" w:firstLine="709"/>
        <w:contextualSpacing/>
        <w:jc w:val="righ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Таблица 2</w:t>
      </w:r>
      <w:r w:rsidR="00F45BC4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Таблица соответствия сте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пени влияния показателя модулю</w:t>
      </w:r>
      <w:r w:rsidR="00F45BC4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5BC4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r</w:t>
      </w:r>
      <w:r w:rsidR="00F45BC4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45BC4" w:rsidRPr="0076059B" w:rsidRDefault="00F45BC4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7605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1D7CF09" wp14:editId="2F2E6F2D">
            <wp:extent cx="3588385" cy="148399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18" w:rsidRPr="0076059B" w:rsidRDefault="00F45BC4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Так же можно оценить количественно и характер воздействия показателя. Как видно из рис.    , вид воздействия определяется величиной угла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α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667B5D" w:rsidRPr="0076059B" w:rsidRDefault="00F45BC4" w:rsidP="0076059B">
      <w:pPr>
        <w:spacing w:after="0" w:line="240" w:lineRule="auto"/>
        <w:ind w:left="-567" w:firstLine="709"/>
        <w:contextualSpacing/>
        <w:jc w:val="righ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Таблица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3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. Таблица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соответствия видов воздействия углу наклона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α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16D18" w:rsidRPr="0076059B" w:rsidRDefault="00316D18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</w:t>
      </w:r>
      <w:r w:rsidRPr="007605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36BE233" wp14:editId="7CD171A0">
            <wp:extent cx="3588385" cy="172529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18" w:rsidRPr="0076059B" w:rsidRDefault="00667B5D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С учетом таблицы 2 и 3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и формул преобразования координат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( 1 ) и ( 2 )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таблица результатов автоматизированного 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="00316D18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анализа будет иметь вид:</w:t>
      </w:r>
    </w:p>
    <w:p w:rsidR="00316D18" w:rsidRPr="0076059B" w:rsidRDefault="00316D18" w:rsidP="0076059B">
      <w:pPr>
        <w:spacing w:after="0" w:line="240" w:lineRule="auto"/>
        <w:ind w:left="-567" w:firstLine="709"/>
        <w:contextualSpacing/>
        <w:jc w:val="righ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Та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блица 4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. Результаты автоматизированного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анализа.</w:t>
      </w:r>
    </w:p>
    <w:p w:rsidR="00316D18" w:rsidRPr="0076059B" w:rsidRDefault="00316D18" w:rsidP="0076059B">
      <w:pPr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</w:pPr>
      <w:r w:rsidRPr="007605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A0102AF" wp14:editId="63D0BB47">
            <wp:extent cx="5940425" cy="2132428"/>
            <wp:effectExtent l="0" t="0" r="3175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63" w:rsidRPr="0076059B" w:rsidRDefault="002C1E63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Следующим шагом классического 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US" w:eastAsia="ru-RU"/>
        </w:rPr>
        <w:t>SWOT</w:t>
      </w: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анализа является исследование значимости полученных результатов с помощью матрицы возможностей и угроз. </w:t>
      </w:r>
    </w:p>
    <w:p w:rsidR="002C1E63" w:rsidRPr="0076059B" w:rsidRDefault="002C1E63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Матрица возможностей и угроз имеет вид, приведенный </w:t>
      </w:r>
      <w:r w:rsidR="00667B5D"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>в таблице 5.</w:t>
      </w:r>
    </w:p>
    <w:p w:rsidR="00667B5D" w:rsidRPr="0076059B" w:rsidRDefault="00667B5D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667B5D" w:rsidRPr="0076059B" w:rsidRDefault="00667B5D" w:rsidP="0076059B">
      <w:pPr>
        <w:shd w:val="clear" w:color="auto" w:fill="FFFFFF"/>
        <w:spacing w:after="0" w:line="240" w:lineRule="auto"/>
        <w:ind w:left="-567" w:firstLine="709"/>
        <w:contextualSpacing/>
        <w:jc w:val="right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sz w:val="24"/>
          <w:szCs w:val="24"/>
          <w:lang w:eastAsia="ru-RU"/>
        </w:rPr>
        <w:t>Таблица 5. Матрица возможностей и угроз.</w:t>
      </w:r>
    </w:p>
    <w:p w:rsidR="00A04EDE" w:rsidRPr="0076059B" w:rsidRDefault="00A04EDE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AD8C7A" wp14:editId="71F2FD8F">
            <wp:extent cx="6200140" cy="2261870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3BD" w:rsidRPr="0076059B" w:rsidRDefault="002C1E63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Шаблон матрицы возможностей и угроз состоит из двух осей – Y, определяющая вероятность использования возможностей внешней среды, а также вероятность реализации угроз, и X, определяющая степень влияния использования возможностей среды, а также последствия влияния угроз на компанию.</w:t>
      </w:r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стыке этих осей образуются девять полей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определяющих значимость факторов внешней среды для компании. </w:t>
      </w:r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Присмотревшись к данной матрице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понимаем, что матрица возможностей и угроз является </w:t>
      </w:r>
      <w:proofErr w:type="gramStart"/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чем иным, как</w:t>
      </w:r>
      <w:proofErr w:type="gramEnd"/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картой позиционирования. Проведя небольшие преобразования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B03BD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получаем следующую карту позиционирования возможностей и угроз.</w:t>
      </w:r>
    </w:p>
    <w:p w:rsidR="001B03BD" w:rsidRPr="0076059B" w:rsidRDefault="006F6679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1F63D9B" wp14:editId="2EA610F1">
            <wp:extent cx="5351228" cy="2895769"/>
            <wp:effectExtent l="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56" cy="2902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679" w:rsidRPr="0076059B" w:rsidRDefault="00C3286F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Рис.3</w:t>
      </w:r>
      <w:r w:rsidR="002327F4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Отображение матрицы возможностей и угроз с помощью карты позиционирования.</w:t>
      </w:r>
    </w:p>
    <w:p w:rsidR="002327F4" w:rsidRPr="0076059B" w:rsidRDefault="002327F4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видите, получаем карту позиционирования по логике построения идентичную полученной ранее карте позиционирования результатов 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анализа. Шкала Х характеризует степень воздействия на деятельность компании показателя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возможные значения от 0 до 3 ), шкала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показывает вероятность возникновения события ( вероятность от 0 до 100 %, для удобства проградуировано от 0 до 3 ). Количественный анализ данной карты можно проводить по рассмотренной ранее методике.</w:t>
      </w:r>
    </w:p>
    <w:p w:rsidR="002327F4" w:rsidRPr="0076059B" w:rsidRDefault="002327F4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Сравнительный анализ интерпретации результатов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 позицио</w:t>
      </w:r>
      <w:r w:rsidR="00C32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нирования, приведенных на рис. 2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рис</w:t>
      </w:r>
      <w:r w:rsidR="00C32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3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показывает, что маркетинговый смысл полученных на них показателей практически одинаков. Можно сделать вывод, что преобразование  таблицы результатов исследования маркетинговой среды в рамках второго этапа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 в карту позиционирования и ее количественный анализ позволяют не проводить анализ матрицы возможностей и угроз без существенного снижения достоверности результатов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 конкурентной среды.</w:t>
      </w:r>
    </w:p>
    <w:p w:rsidR="002C1E63" w:rsidRPr="0076059B" w:rsidRDefault="00647B17" w:rsidP="00C3286F">
      <w:pPr>
        <w:pStyle w:val="3"/>
        <w:numPr>
          <w:ilvl w:val="0"/>
          <w:numId w:val="6"/>
        </w:numPr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</w:rPr>
      </w:pPr>
      <w:r w:rsidRPr="0076059B">
        <w:rPr>
          <w:rFonts w:ascii="Arial" w:hAnsi="Arial" w:cs="Arial"/>
          <w:b w:val="0"/>
          <w:i/>
          <w:sz w:val="24"/>
          <w:szCs w:val="24"/>
        </w:rPr>
        <w:t>Разработка маркетинговых стратегий и предварительная оценка их эффективности.</w:t>
      </w:r>
    </w:p>
    <w:p w:rsidR="00647B17" w:rsidRPr="0076059B" w:rsidRDefault="002E6111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результате количественной оценки карты позиционирования составляется итоговая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SWOT-матрица, показатели в которой распределены по четырем группам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 и ранжированы по убыванию параметра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рассчитанного с помощью 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карты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позиционирования показателей или матрицы возможностей и угроз ). Следующим шагом 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маркетинговой стратегии является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 из каждой группы показателей наиболее</w:t>
      </w:r>
      <w:r w:rsidR="00A81E5A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значимых </w:t>
      </w:r>
      <w:proofErr w:type="gramStart"/>
      <w:r w:rsidR="00A81E5A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A81E5A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 выбираются 3 – 5 показателей из каждой группы, но в зависимости от значимости их количество может меняться ).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C1E63" w:rsidRPr="0076059B" w:rsidRDefault="00A81E5A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в нашем распоряжении есть вся необходимая информация для разработки первоначальных маркетинговых стратегий</w:t>
      </w:r>
      <w:r w:rsidR="00FB12BB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FB12BB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[ </w:t>
      </w:r>
      <w:proofErr w:type="gramEnd"/>
      <w:r w:rsidR="00FB12BB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3 ]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Сразу следует оговориться, что данные стратегии носят эскизный и скорее теоретический характер и без углубленного исследования рыночной ситуации к исполнению они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не могут.</w:t>
      </w:r>
    </w:p>
    <w:p w:rsidR="00A81E5A" w:rsidRPr="0076059B" w:rsidRDefault="00A81E5A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Логика составления матрицы эскизных стратегий следующая: сильные стороны компании могут быть использов</w:t>
      </w:r>
      <w:r w:rsidR="00644925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аны для реализации возможностей, предоставленных рынком или снижения угроз, а возможности, предоставленные рынком могут использоваться для минимизации влияния внешних угроз или для снижения уязвимости компании </w:t>
      </w:r>
      <w:proofErr w:type="gramStart"/>
      <w:r w:rsidR="00644925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644925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644925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644925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наличия у нее слабостей.</w:t>
      </w:r>
    </w:p>
    <w:p w:rsidR="00644925" w:rsidRPr="0076059B" w:rsidRDefault="00644925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общем виде возможные стратегии </w:t>
      </w:r>
      <w:r w:rsidR="00C32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приведены на рис. 4</w:t>
      </w:r>
      <w:r w:rsidR="000E2D20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2D20" w:rsidRPr="0076059B" w:rsidRDefault="000E2D20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рисунка видно, что возможны следующие варианты маркетинговых стратегий:</w:t>
      </w:r>
    </w:p>
    <w:p w:rsidR="000E2D20" w:rsidRPr="0076059B" w:rsidRDefault="000E2D20" w:rsidP="0076059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S+</w:t>
      </w:r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O </w:t>
      </w:r>
      <w:proofErr w:type="gramStart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Сильная сторона + Возможность ) -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стратегии наступления, использующие сильные стороны компании для реализации возможностей внешней среды;</w:t>
      </w:r>
    </w:p>
    <w:p w:rsidR="000E2D20" w:rsidRPr="0076059B" w:rsidRDefault="000E2D20" w:rsidP="0076059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S-T </w:t>
      </w:r>
      <w:proofErr w:type="gramStart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Сильная сторона - Угроза )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стратегии обороны, предполагающие использование сильных сторон компании с целью устранения или минимизации угроз внешней среды;</w:t>
      </w:r>
    </w:p>
    <w:p w:rsidR="007F1AD2" w:rsidRPr="0076059B" w:rsidRDefault="007F1AD2" w:rsidP="0076059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Сильная сторона – Слабая сторона ) – стратегии обороны, предполагающие использование сильных сторон компании с целью компенсации рисков, вызванных наличием у нее слабостей;</w:t>
      </w:r>
    </w:p>
    <w:p w:rsidR="000E2D20" w:rsidRPr="0076059B" w:rsidRDefault="000E2D20" w:rsidP="0076059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-T </w:t>
      </w:r>
      <w:proofErr w:type="gramStart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Возможность</w:t>
      </w:r>
      <w:proofErr w:type="gramEnd"/>
      <w:r w:rsidR="007F1AD2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Угроза )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стратегии сдерживания, направленные на то, чтобы избавиться от слабых сторон компании и избежать угроз внешней среды.</w:t>
      </w:r>
    </w:p>
    <w:p w:rsidR="007F1AD2" w:rsidRPr="0076059B" w:rsidRDefault="007F1AD2" w:rsidP="0076059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O-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– Слабая сторона )  – стратегии развития, основной концепцией которых является использование возможностей внешней среды с целью минимизации влияния слабых сторон компании;</w:t>
      </w:r>
    </w:p>
    <w:p w:rsidR="000E2D20" w:rsidRPr="0076059B" w:rsidRDefault="001602D4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E4B8C8" wp14:editId="68919237">
            <wp:extent cx="4608830" cy="54197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D20" w:rsidRPr="0076059B" w:rsidRDefault="001602D4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</w:t>
      </w:r>
      <w:r w:rsidR="00C32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Возможные по итогам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 маркетинговые стратегии.</w:t>
      </w:r>
    </w:p>
    <w:p w:rsidR="001602D4" w:rsidRPr="0076059B" w:rsidRDefault="001602D4" w:rsidP="0076059B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видно из 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описания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возможных стратегий, сочетание используемых факторов маркетинговой среды имеет вид некоторых математических выражений. Предположим, что стратегия будет эффективной при выполнении двух условий:</w:t>
      </w:r>
    </w:p>
    <w:p w:rsidR="001602D4" w:rsidRPr="0076059B" w:rsidRDefault="001602D4" w:rsidP="0076059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Факторы должны быть взаимосвязаны.</w:t>
      </w:r>
    </w:p>
    <w:p w:rsidR="001602D4" w:rsidRPr="0076059B" w:rsidRDefault="001602D4" w:rsidP="0076059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Суммарное значение </w:t>
      </w:r>
      <w:r w:rsidR="00EC418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модулей </w:t>
      </w:r>
      <w:r w:rsidR="00EC418E"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="00EC418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факторов, используемых при составлении стратегии</w:t>
      </w:r>
      <w:r w:rsidR="00EC418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быть больше нуля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значение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сильных сторон и возможностей принимается больше 0, а для слабостей и угроз меньше 0 ).</w:t>
      </w:r>
    </w:p>
    <w:p w:rsidR="00D57B42" w:rsidRPr="0076059B" w:rsidRDefault="00D57B42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Возвращаясь к нашему примеру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табл. 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 </w:t>
      </w:r>
      <w:r w:rsidR="00EC418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сформировать следующие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стратегии: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используя преимущество в уровне технологий над конкурентами компания может увеличить свой объем продаж на растущем рынке, при этом рост рынка вызван ростом населения.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Количественно возможную эффективность данной стратегии можно рассчитать как: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3,61 + 1,41 =5,02 – т.е. данная стратегия может быть достаточно эффективна.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вариант: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используя преимущество в уровне технологий над конкурентами компания может попытаться сохранить свой объем продаж на падающем рынке, при этом падение рынка вызвано снижением доходов населения.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данной стратегии будет:</w:t>
      </w:r>
    </w:p>
    <w:p w:rsidR="00B04A49" w:rsidRPr="0076059B" w:rsidRDefault="00B04A49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=3,61-</w:t>
      </w:r>
      <w:r w:rsidR="000133D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3,61=0 – т.е. данная стратегия не будет эффективна.</w:t>
      </w:r>
    </w:p>
    <w:p w:rsidR="000133DE" w:rsidRPr="0076059B" w:rsidRDefault="000133DE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Данные примеры достаточно абстрактны, они призваны показать, что на этапе разработки </w:t>
      </w:r>
      <w:r w:rsidR="00647B17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маркетинговой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стратегии можно количественно оценить ее эффективность, при этом возможен учет в одной стратегии достаточно большой совокупности факторов или наоборот, использование одного преимущества для решения нескольких проблем. Маркетинговая стратегия фирмы при использовании данного подхода будет </w:t>
      </w:r>
      <w:r w:rsidR="00A87230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</w:t>
      </w:r>
      <w:r w:rsidR="00A87230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емой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линейных уравнений, правые части которых должны быть положительны.</w:t>
      </w:r>
    </w:p>
    <w:p w:rsidR="00A87230" w:rsidRDefault="00A87230" w:rsidP="00C3286F">
      <w:pPr>
        <w:pStyle w:val="ac"/>
        <w:shd w:val="clear" w:color="auto" w:fill="FFFFFF"/>
        <w:spacing w:after="0" w:line="240" w:lineRule="auto"/>
        <w:ind w:left="-567" w:firstLine="709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данной статьи можно предложить практический алгоритм разработки маркетинговой стратегии</w:t>
      </w:r>
      <w:r w:rsidR="00C32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компании, приведенный на рис. 5</w:t>
      </w:r>
      <w:r w:rsidR="0066397E"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3286F" w:rsidRPr="00C3286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C3286F" w:rsidRPr="007605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0EF322" wp14:editId="1C922842">
            <wp:extent cx="3456940" cy="40417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3286F" w:rsidRPr="0076059B" w:rsidRDefault="00C3286F" w:rsidP="00C3286F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5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Алгоритм разработки маркетинговой стратегии компании.</w:t>
      </w:r>
    </w:p>
    <w:p w:rsidR="00C3286F" w:rsidRPr="0076059B" w:rsidRDefault="00C3286F" w:rsidP="00C3286F">
      <w:pPr>
        <w:pStyle w:val="ac"/>
        <w:shd w:val="clear" w:color="auto" w:fill="FFFFFF"/>
        <w:spacing w:after="0" w:line="240" w:lineRule="auto"/>
        <w:ind w:left="-567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97E" w:rsidRPr="0076059B" w:rsidRDefault="0066397E" w:rsidP="00C3286F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Использование данного алгоритма по сравнению со стандартным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анализом имеет следующие преимущества:</w:t>
      </w:r>
    </w:p>
    <w:p w:rsidR="0066397E" w:rsidRPr="0076059B" w:rsidRDefault="0066397E" w:rsidP="00C3286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количественно оценить факторы маркетинговой среды;</w:t>
      </w:r>
    </w:p>
    <w:p w:rsidR="0066397E" w:rsidRPr="0076059B" w:rsidRDefault="0066397E" w:rsidP="00C3286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Позволяет автоматически разнести их по областям карты позиционирования факторов </w:t>
      </w:r>
      <w:proofErr w:type="gramStart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матрицы 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SWOT</w:t>
      </w: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анализа ).</w:t>
      </w:r>
    </w:p>
    <w:p w:rsidR="0066397E" w:rsidRPr="0076059B" w:rsidRDefault="0066397E" w:rsidP="00C3286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количественно ранжировать факторы в порядке значимости;</w:t>
      </w:r>
    </w:p>
    <w:p w:rsidR="0066397E" w:rsidRPr="0076059B" w:rsidRDefault="0066397E" w:rsidP="00C3286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сформировать маркетинговые стратегии по результатам анализа.</w:t>
      </w:r>
    </w:p>
    <w:p w:rsidR="0066397E" w:rsidRDefault="0066397E" w:rsidP="00C3286F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количественно оценить эффективность разработанных маркетинговых стратегий.</w:t>
      </w:r>
    </w:p>
    <w:p w:rsidR="00C3286F" w:rsidRPr="0076059B" w:rsidRDefault="00C3286F" w:rsidP="00C3286F">
      <w:pPr>
        <w:pStyle w:val="3"/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</w:rPr>
      </w:pPr>
      <w:r w:rsidRPr="0076059B">
        <w:rPr>
          <w:rFonts w:ascii="Arial" w:hAnsi="Arial" w:cs="Arial"/>
          <w:b w:val="0"/>
          <w:i/>
          <w:sz w:val="24"/>
          <w:szCs w:val="24"/>
        </w:rPr>
        <w:t>Список использованной литературы.</w:t>
      </w:r>
    </w:p>
    <w:p w:rsidR="00C3286F" w:rsidRPr="0076059B" w:rsidRDefault="00C3286F" w:rsidP="00C3286F">
      <w:pPr>
        <w:pStyle w:val="3"/>
        <w:numPr>
          <w:ilvl w:val="0"/>
          <w:numId w:val="14"/>
        </w:numPr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</w:rPr>
      </w:pPr>
      <w:proofErr w:type="spellStart"/>
      <w:r w:rsidRPr="0076059B">
        <w:rPr>
          <w:rFonts w:ascii="Arial" w:hAnsi="Arial" w:cs="Arial"/>
          <w:b w:val="0"/>
          <w:bCs w:val="0"/>
          <w:i/>
          <w:iCs/>
          <w:spacing w:val="-1"/>
          <w:sz w:val="24"/>
          <w:szCs w:val="24"/>
        </w:rPr>
        <w:t>Беляевский</w:t>
      </w:r>
      <w:proofErr w:type="spellEnd"/>
      <w:r w:rsidRPr="0076059B">
        <w:rPr>
          <w:rFonts w:ascii="Arial" w:hAnsi="Arial" w:cs="Arial"/>
          <w:b w:val="0"/>
          <w:bCs w:val="0"/>
          <w:i/>
          <w:iCs/>
          <w:spacing w:val="-1"/>
          <w:sz w:val="24"/>
          <w:szCs w:val="24"/>
        </w:rPr>
        <w:t xml:space="preserve"> И.К. Маркетинговое исследование</w:t>
      </w:r>
      <w:proofErr w:type="gramStart"/>
      <w:r w:rsidRPr="0076059B">
        <w:rPr>
          <w:rFonts w:ascii="Arial" w:hAnsi="Arial" w:cs="Arial"/>
          <w:b w:val="0"/>
          <w:bCs w:val="0"/>
          <w:i/>
          <w:iCs/>
          <w:spacing w:val="-1"/>
          <w:sz w:val="24"/>
          <w:szCs w:val="24"/>
        </w:rPr>
        <w:t xml:space="preserve"> </w:t>
      </w:r>
      <w:r w:rsidRPr="0076059B">
        <w:rPr>
          <w:rFonts w:ascii="Arial" w:hAnsi="Arial" w:cs="Arial"/>
          <w:b w:val="0"/>
          <w:i/>
          <w:spacing w:val="-1"/>
          <w:sz w:val="24"/>
          <w:szCs w:val="24"/>
        </w:rPr>
        <w:t>:</w:t>
      </w:r>
      <w:proofErr w:type="gramEnd"/>
      <w:r w:rsidRPr="0076059B">
        <w:rPr>
          <w:rFonts w:ascii="Arial" w:hAnsi="Arial" w:cs="Arial"/>
          <w:b w:val="0"/>
          <w:i/>
          <w:spacing w:val="-1"/>
          <w:sz w:val="24"/>
          <w:szCs w:val="24"/>
        </w:rPr>
        <w:t xml:space="preserve"> Учебное пособие, ру</w:t>
      </w:r>
      <w:r w:rsidRPr="0076059B">
        <w:rPr>
          <w:rFonts w:ascii="Arial" w:hAnsi="Arial" w:cs="Arial"/>
          <w:b w:val="0"/>
          <w:i/>
          <w:spacing w:val="-3"/>
          <w:sz w:val="24"/>
          <w:szCs w:val="24"/>
        </w:rPr>
        <w:t xml:space="preserve">ководство по изучению дисциплины, практикум по курсу, учебная программа / Московский </w:t>
      </w:r>
      <w:r w:rsidRPr="0076059B">
        <w:rPr>
          <w:rFonts w:ascii="Arial" w:hAnsi="Arial" w:cs="Arial"/>
          <w:b w:val="0"/>
          <w:i/>
          <w:spacing w:val="-2"/>
          <w:sz w:val="24"/>
          <w:szCs w:val="24"/>
        </w:rPr>
        <w:t xml:space="preserve">государственный университет экономики, статистики и информатики. — М. Издательство </w:t>
      </w:r>
      <w:proofErr w:type="spellStart"/>
      <w:r w:rsidRPr="0076059B">
        <w:rPr>
          <w:rFonts w:ascii="Arial" w:hAnsi="Arial" w:cs="Arial"/>
          <w:b w:val="0"/>
          <w:i/>
          <w:spacing w:val="-2"/>
          <w:sz w:val="24"/>
          <w:szCs w:val="24"/>
        </w:rPr>
        <w:t>МГУЭСиИ</w:t>
      </w:r>
      <w:proofErr w:type="spellEnd"/>
      <w:r w:rsidRPr="0076059B">
        <w:rPr>
          <w:rFonts w:ascii="Arial" w:hAnsi="Arial" w:cs="Arial"/>
          <w:b w:val="0"/>
          <w:i/>
          <w:spacing w:val="-2"/>
          <w:sz w:val="24"/>
          <w:szCs w:val="24"/>
        </w:rPr>
        <w:t xml:space="preserve">, 2004. 414 с. Стр. </w:t>
      </w:r>
      <w:r w:rsidRPr="0076059B">
        <w:rPr>
          <w:rFonts w:ascii="Arial" w:hAnsi="Arial" w:cs="Arial"/>
          <w:b w:val="0"/>
          <w:i/>
          <w:spacing w:val="-2"/>
          <w:sz w:val="24"/>
          <w:szCs w:val="24"/>
          <w:lang w:val="en-US"/>
        </w:rPr>
        <w:t>207</w:t>
      </w:r>
      <w:r w:rsidRPr="0076059B">
        <w:rPr>
          <w:rFonts w:ascii="Arial" w:hAnsi="Arial" w:cs="Arial"/>
          <w:b w:val="0"/>
          <w:i/>
          <w:spacing w:val="-2"/>
          <w:sz w:val="24"/>
          <w:szCs w:val="24"/>
        </w:rPr>
        <w:t xml:space="preserve"> – 2</w:t>
      </w:r>
      <w:r w:rsidRPr="0076059B">
        <w:rPr>
          <w:rFonts w:ascii="Arial" w:hAnsi="Arial" w:cs="Arial"/>
          <w:b w:val="0"/>
          <w:i/>
          <w:spacing w:val="-2"/>
          <w:sz w:val="24"/>
          <w:szCs w:val="24"/>
          <w:lang w:val="en-US"/>
        </w:rPr>
        <w:t>15</w:t>
      </w:r>
      <w:r w:rsidRPr="0076059B">
        <w:rPr>
          <w:rFonts w:ascii="Arial" w:hAnsi="Arial" w:cs="Arial"/>
          <w:b w:val="0"/>
          <w:i/>
          <w:spacing w:val="-2"/>
          <w:sz w:val="24"/>
          <w:szCs w:val="24"/>
        </w:rPr>
        <w:t>.</w:t>
      </w:r>
    </w:p>
    <w:p w:rsidR="00C3286F" w:rsidRPr="0076059B" w:rsidRDefault="00C3286F" w:rsidP="00C3286F">
      <w:pPr>
        <w:pStyle w:val="3"/>
        <w:numPr>
          <w:ilvl w:val="0"/>
          <w:numId w:val="14"/>
        </w:numPr>
        <w:spacing w:before="0" w:beforeAutospacing="0" w:after="0" w:afterAutospacing="0"/>
        <w:ind w:left="-567" w:firstLine="709"/>
        <w:contextualSpacing/>
        <w:rPr>
          <w:rFonts w:ascii="Arial" w:hAnsi="Arial" w:cs="Arial"/>
          <w:b w:val="0"/>
          <w:i/>
          <w:sz w:val="24"/>
          <w:szCs w:val="24"/>
        </w:rPr>
      </w:pPr>
      <w:proofErr w:type="spellStart"/>
      <w:r w:rsidRPr="0076059B">
        <w:rPr>
          <w:rFonts w:ascii="Arial" w:hAnsi="Arial" w:cs="Arial"/>
          <w:b w:val="0"/>
          <w:i/>
          <w:sz w:val="24"/>
          <w:szCs w:val="24"/>
        </w:rPr>
        <w:t>Малхорта</w:t>
      </w:r>
      <w:proofErr w:type="spellEnd"/>
      <w:r w:rsidRPr="0076059B">
        <w:rPr>
          <w:rFonts w:ascii="Arial" w:hAnsi="Arial" w:cs="Arial"/>
          <w:b w:val="0"/>
          <w:i/>
          <w:sz w:val="24"/>
          <w:szCs w:val="24"/>
        </w:rPr>
        <w:t xml:space="preserve">, </w:t>
      </w:r>
      <w:proofErr w:type="spellStart"/>
      <w:r w:rsidRPr="0076059B">
        <w:rPr>
          <w:rFonts w:ascii="Arial" w:hAnsi="Arial" w:cs="Arial"/>
          <w:b w:val="0"/>
          <w:i/>
          <w:sz w:val="24"/>
          <w:szCs w:val="24"/>
        </w:rPr>
        <w:t>Нэреш</w:t>
      </w:r>
      <w:proofErr w:type="spellEnd"/>
      <w:r w:rsidRPr="0076059B">
        <w:rPr>
          <w:rFonts w:ascii="Arial" w:hAnsi="Arial" w:cs="Arial"/>
          <w:b w:val="0"/>
          <w:i/>
          <w:sz w:val="24"/>
          <w:szCs w:val="24"/>
        </w:rPr>
        <w:t xml:space="preserve"> К. Маркетинговые исследования. Практическое руководство. 3 издание / перевод с английского – М. Издательский дом «</w:t>
      </w:r>
      <w:proofErr w:type="spellStart"/>
      <w:r w:rsidRPr="0076059B">
        <w:rPr>
          <w:rFonts w:ascii="Arial" w:hAnsi="Arial" w:cs="Arial"/>
          <w:b w:val="0"/>
          <w:i/>
          <w:sz w:val="24"/>
          <w:szCs w:val="24"/>
        </w:rPr>
        <w:t>Вильме</w:t>
      </w:r>
      <w:proofErr w:type="spellEnd"/>
      <w:r w:rsidRPr="0076059B">
        <w:rPr>
          <w:rFonts w:ascii="Arial" w:hAnsi="Arial" w:cs="Arial"/>
          <w:b w:val="0"/>
          <w:i/>
          <w:sz w:val="24"/>
          <w:szCs w:val="24"/>
        </w:rPr>
        <w:t>», 2002 . 960 с. Стр. 316 – 324.</w:t>
      </w:r>
    </w:p>
    <w:p w:rsidR="00C3286F" w:rsidRPr="0076059B" w:rsidRDefault="00C3286F" w:rsidP="00C3286F">
      <w:pPr>
        <w:pStyle w:val="ac"/>
        <w:numPr>
          <w:ilvl w:val="0"/>
          <w:numId w:val="14"/>
        </w:numPr>
        <w:spacing w:after="0" w:line="240" w:lineRule="auto"/>
        <w:ind w:left="-567" w:firstLine="709"/>
        <w:jc w:val="both"/>
        <w:rPr>
          <w:rFonts w:ascii="Arial" w:hAnsi="Arial" w:cs="Arial"/>
          <w:i/>
          <w:sz w:val="24"/>
          <w:szCs w:val="24"/>
        </w:rPr>
      </w:pPr>
      <w:r w:rsidRPr="0076059B">
        <w:rPr>
          <w:rFonts w:ascii="Arial" w:hAnsi="Arial" w:cs="Arial"/>
          <w:i/>
          <w:sz w:val="24"/>
          <w:szCs w:val="24"/>
        </w:rPr>
        <w:t>Голубков Е.П. Основы маркетинга. /. М.: Издательство «</w:t>
      </w:r>
      <w:proofErr w:type="spellStart"/>
      <w:r w:rsidRPr="0076059B">
        <w:rPr>
          <w:rFonts w:ascii="Arial" w:hAnsi="Arial" w:cs="Arial"/>
          <w:i/>
          <w:sz w:val="24"/>
          <w:szCs w:val="24"/>
        </w:rPr>
        <w:t>Финпресс</w:t>
      </w:r>
      <w:proofErr w:type="spellEnd"/>
      <w:r w:rsidRPr="0076059B">
        <w:rPr>
          <w:rFonts w:ascii="Arial" w:hAnsi="Arial" w:cs="Arial"/>
          <w:i/>
          <w:sz w:val="24"/>
          <w:szCs w:val="24"/>
        </w:rPr>
        <w:t>»,</w:t>
      </w:r>
    </w:p>
    <w:p w:rsidR="00C3286F" w:rsidRPr="0076059B" w:rsidRDefault="00C3286F" w:rsidP="00C3286F">
      <w:pPr>
        <w:pStyle w:val="ac"/>
        <w:spacing w:after="0" w:line="240" w:lineRule="auto"/>
        <w:ind w:left="-567" w:firstLine="709"/>
        <w:jc w:val="both"/>
        <w:rPr>
          <w:rFonts w:ascii="Arial" w:hAnsi="Arial" w:cs="Arial"/>
          <w:i/>
          <w:sz w:val="24"/>
          <w:szCs w:val="24"/>
        </w:rPr>
      </w:pPr>
      <w:r w:rsidRPr="0076059B">
        <w:rPr>
          <w:rFonts w:ascii="Arial" w:hAnsi="Arial" w:cs="Arial"/>
          <w:i/>
          <w:sz w:val="24"/>
          <w:szCs w:val="24"/>
        </w:rPr>
        <w:t xml:space="preserve"> 1999. - 656 с. Стр. 40 -51.</w:t>
      </w:r>
    </w:p>
    <w:p w:rsidR="00C3286F" w:rsidRPr="0076059B" w:rsidRDefault="00C3286F" w:rsidP="00C3286F">
      <w:pPr>
        <w:pStyle w:val="ac"/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230" w:rsidRPr="0076059B" w:rsidRDefault="00A87230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97E" w:rsidRPr="0076059B" w:rsidRDefault="0066397E" w:rsidP="0076059B">
      <w:pPr>
        <w:pStyle w:val="ac"/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2BB" w:rsidRPr="00266A8B" w:rsidRDefault="00FB12BB" w:rsidP="00FB12BB">
      <w:pPr>
        <w:pStyle w:val="3"/>
        <w:spacing w:line="360" w:lineRule="auto"/>
        <w:ind w:left="426"/>
        <w:contextualSpacing/>
        <w:rPr>
          <w:b w:val="0"/>
          <w:i/>
          <w:sz w:val="28"/>
          <w:szCs w:val="28"/>
        </w:rPr>
      </w:pPr>
    </w:p>
    <w:sectPr w:rsidR="00FB12BB" w:rsidRPr="0026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28" w:rsidRDefault="000D5628" w:rsidP="00D77617">
      <w:pPr>
        <w:spacing w:after="0" w:line="240" w:lineRule="auto"/>
      </w:pPr>
      <w:r>
        <w:separator/>
      </w:r>
    </w:p>
  </w:endnote>
  <w:endnote w:type="continuationSeparator" w:id="0">
    <w:p w:rsidR="000D5628" w:rsidRDefault="000D5628" w:rsidP="00D7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28" w:rsidRDefault="000D5628" w:rsidP="00D77617">
      <w:pPr>
        <w:spacing w:after="0" w:line="240" w:lineRule="auto"/>
      </w:pPr>
      <w:r>
        <w:separator/>
      </w:r>
    </w:p>
  </w:footnote>
  <w:footnote w:type="continuationSeparator" w:id="0">
    <w:p w:rsidR="000D5628" w:rsidRDefault="000D5628" w:rsidP="00D77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50"/>
    <w:multiLevelType w:val="hybridMultilevel"/>
    <w:tmpl w:val="992E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946"/>
    <w:multiLevelType w:val="hybridMultilevel"/>
    <w:tmpl w:val="C31463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79428A"/>
    <w:multiLevelType w:val="hybridMultilevel"/>
    <w:tmpl w:val="EF7C3110"/>
    <w:lvl w:ilvl="0" w:tplc="A12A4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6662"/>
    <w:multiLevelType w:val="hybridMultilevel"/>
    <w:tmpl w:val="FB5E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2522"/>
    <w:multiLevelType w:val="hybridMultilevel"/>
    <w:tmpl w:val="895892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9B32F5"/>
    <w:multiLevelType w:val="hybridMultilevel"/>
    <w:tmpl w:val="B314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52FA7"/>
    <w:multiLevelType w:val="hybridMultilevel"/>
    <w:tmpl w:val="A8044D8C"/>
    <w:lvl w:ilvl="0" w:tplc="D382BE22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7469D"/>
    <w:multiLevelType w:val="hybridMultilevel"/>
    <w:tmpl w:val="76146F88"/>
    <w:lvl w:ilvl="0" w:tplc="FDB0D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78EF"/>
    <w:multiLevelType w:val="multilevel"/>
    <w:tmpl w:val="6E74F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AB40FA"/>
    <w:multiLevelType w:val="hybridMultilevel"/>
    <w:tmpl w:val="C208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C052D"/>
    <w:multiLevelType w:val="hybridMultilevel"/>
    <w:tmpl w:val="7C3C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94827"/>
    <w:multiLevelType w:val="multilevel"/>
    <w:tmpl w:val="6C4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3F0010"/>
    <w:multiLevelType w:val="hybridMultilevel"/>
    <w:tmpl w:val="BBECD33C"/>
    <w:lvl w:ilvl="0" w:tplc="FDA64D3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55A95"/>
    <w:multiLevelType w:val="hybridMultilevel"/>
    <w:tmpl w:val="768A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7"/>
    <w:rsid w:val="000004C8"/>
    <w:rsid w:val="000133DE"/>
    <w:rsid w:val="00021D32"/>
    <w:rsid w:val="000C3E1B"/>
    <w:rsid w:val="000D5628"/>
    <w:rsid w:val="000E2D20"/>
    <w:rsid w:val="001602D4"/>
    <w:rsid w:val="001941B0"/>
    <w:rsid w:val="001B03BD"/>
    <w:rsid w:val="0023264C"/>
    <w:rsid w:val="002327F4"/>
    <w:rsid w:val="00266A8B"/>
    <w:rsid w:val="00285C4E"/>
    <w:rsid w:val="002C1E63"/>
    <w:rsid w:val="002E6111"/>
    <w:rsid w:val="002F5CED"/>
    <w:rsid w:val="00316D18"/>
    <w:rsid w:val="00332572"/>
    <w:rsid w:val="00493D12"/>
    <w:rsid w:val="00543ECC"/>
    <w:rsid w:val="00591950"/>
    <w:rsid w:val="00612966"/>
    <w:rsid w:val="006135F1"/>
    <w:rsid w:val="00622EA0"/>
    <w:rsid w:val="00644925"/>
    <w:rsid w:val="00647B17"/>
    <w:rsid w:val="0066397E"/>
    <w:rsid w:val="00667B5D"/>
    <w:rsid w:val="00672769"/>
    <w:rsid w:val="006758C3"/>
    <w:rsid w:val="006A6C97"/>
    <w:rsid w:val="006C2FB3"/>
    <w:rsid w:val="006F6679"/>
    <w:rsid w:val="0076059B"/>
    <w:rsid w:val="007A49BE"/>
    <w:rsid w:val="007B716D"/>
    <w:rsid w:val="007F1AD2"/>
    <w:rsid w:val="009A32EC"/>
    <w:rsid w:val="00A04EDE"/>
    <w:rsid w:val="00A22B1C"/>
    <w:rsid w:val="00A81E5A"/>
    <w:rsid w:val="00A87230"/>
    <w:rsid w:val="00B04A49"/>
    <w:rsid w:val="00B04DA3"/>
    <w:rsid w:val="00BA7EF9"/>
    <w:rsid w:val="00BE4D68"/>
    <w:rsid w:val="00BE5577"/>
    <w:rsid w:val="00C072F3"/>
    <w:rsid w:val="00C3286F"/>
    <w:rsid w:val="00C51A52"/>
    <w:rsid w:val="00C63361"/>
    <w:rsid w:val="00C7763A"/>
    <w:rsid w:val="00CC234D"/>
    <w:rsid w:val="00D57B42"/>
    <w:rsid w:val="00D77617"/>
    <w:rsid w:val="00DE1A8D"/>
    <w:rsid w:val="00E9580B"/>
    <w:rsid w:val="00EC418E"/>
    <w:rsid w:val="00EE25E0"/>
    <w:rsid w:val="00F27BFE"/>
    <w:rsid w:val="00F45BC4"/>
    <w:rsid w:val="00F71FFD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7617"/>
  </w:style>
  <w:style w:type="character" w:customStyle="1" w:styleId="apple-converted-space">
    <w:name w:val="apple-converted-space"/>
    <w:basedOn w:val="a0"/>
    <w:rsid w:val="00D77617"/>
  </w:style>
  <w:style w:type="paragraph" w:styleId="a3">
    <w:name w:val="Normal (Web)"/>
    <w:basedOn w:val="a"/>
    <w:uiPriority w:val="99"/>
    <w:unhideWhenUsed/>
    <w:rsid w:val="00D7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617"/>
    <w:rPr>
      <w:b/>
      <w:bCs/>
    </w:rPr>
  </w:style>
  <w:style w:type="character" w:styleId="a5">
    <w:name w:val="Emphasis"/>
    <w:basedOn w:val="a0"/>
    <w:uiPriority w:val="20"/>
    <w:qFormat/>
    <w:rsid w:val="00D77617"/>
    <w:rPr>
      <w:i/>
      <w:iCs/>
    </w:rPr>
  </w:style>
  <w:style w:type="paragraph" w:styleId="a6">
    <w:name w:val="header"/>
    <w:basedOn w:val="a"/>
    <w:link w:val="a7"/>
    <w:uiPriority w:val="99"/>
    <w:unhideWhenUsed/>
    <w:rsid w:val="00D7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617"/>
  </w:style>
  <w:style w:type="paragraph" w:styleId="a8">
    <w:name w:val="footer"/>
    <w:basedOn w:val="a"/>
    <w:link w:val="a9"/>
    <w:uiPriority w:val="99"/>
    <w:unhideWhenUsed/>
    <w:rsid w:val="00D7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617"/>
  </w:style>
  <w:style w:type="paragraph" w:styleId="aa">
    <w:name w:val="Balloon Text"/>
    <w:basedOn w:val="a"/>
    <w:link w:val="ab"/>
    <w:uiPriority w:val="99"/>
    <w:semiHidden/>
    <w:unhideWhenUsed/>
    <w:rsid w:val="00D7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1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77617"/>
    <w:pPr>
      <w:ind w:left="720"/>
      <w:contextualSpacing/>
    </w:pPr>
  </w:style>
  <w:style w:type="table" w:styleId="ad">
    <w:name w:val="Table Grid"/>
    <w:basedOn w:val="a1"/>
    <w:uiPriority w:val="59"/>
    <w:rsid w:val="007B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325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7617"/>
  </w:style>
  <w:style w:type="character" w:customStyle="1" w:styleId="apple-converted-space">
    <w:name w:val="apple-converted-space"/>
    <w:basedOn w:val="a0"/>
    <w:rsid w:val="00D77617"/>
  </w:style>
  <w:style w:type="paragraph" w:styleId="a3">
    <w:name w:val="Normal (Web)"/>
    <w:basedOn w:val="a"/>
    <w:uiPriority w:val="99"/>
    <w:unhideWhenUsed/>
    <w:rsid w:val="00D7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617"/>
    <w:rPr>
      <w:b/>
      <w:bCs/>
    </w:rPr>
  </w:style>
  <w:style w:type="character" w:styleId="a5">
    <w:name w:val="Emphasis"/>
    <w:basedOn w:val="a0"/>
    <w:uiPriority w:val="20"/>
    <w:qFormat/>
    <w:rsid w:val="00D77617"/>
    <w:rPr>
      <w:i/>
      <w:iCs/>
    </w:rPr>
  </w:style>
  <w:style w:type="paragraph" w:styleId="a6">
    <w:name w:val="header"/>
    <w:basedOn w:val="a"/>
    <w:link w:val="a7"/>
    <w:uiPriority w:val="99"/>
    <w:unhideWhenUsed/>
    <w:rsid w:val="00D7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617"/>
  </w:style>
  <w:style w:type="paragraph" w:styleId="a8">
    <w:name w:val="footer"/>
    <w:basedOn w:val="a"/>
    <w:link w:val="a9"/>
    <w:uiPriority w:val="99"/>
    <w:unhideWhenUsed/>
    <w:rsid w:val="00D7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617"/>
  </w:style>
  <w:style w:type="paragraph" w:styleId="aa">
    <w:name w:val="Balloon Text"/>
    <w:basedOn w:val="a"/>
    <w:link w:val="ab"/>
    <w:uiPriority w:val="99"/>
    <w:semiHidden/>
    <w:unhideWhenUsed/>
    <w:rsid w:val="00D7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1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77617"/>
    <w:pPr>
      <w:ind w:left="720"/>
      <w:contextualSpacing/>
    </w:pPr>
  </w:style>
  <w:style w:type="table" w:styleId="ad">
    <w:name w:val="Table Grid"/>
    <w:basedOn w:val="a1"/>
    <w:uiPriority w:val="59"/>
    <w:rsid w:val="007B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32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CF8-1C30-4673-8CB4-723C6138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Сергей Илюха</cp:lastModifiedBy>
  <cp:revision>2</cp:revision>
  <dcterms:created xsi:type="dcterms:W3CDTF">2014-05-20T17:48:00Z</dcterms:created>
  <dcterms:modified xsi:type="dcterms:W3CDTF">2014-05-20T17:48:00Z</dcterms:modified>
</cp:coreProperties>
</file>