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E" w:rsidRPr="007F4AC4" w:rsidRDefault="007F4AC4">
      <w:pPr>
        <w:rPr>
          <w:sz w:val="28"/>
          <w:szCs w:val="28"/>
        </w:rPr>
      </w:pPr>
      <w:r w:rsidRPr="007F4AC4">
        <w:rPr>
          <w:sz w:val="28"/>
          <w:szCs w:val="28"/>
        </w:rPr>
        <w:t>«</w:t>
      </w:r>
      <w:r w:rsidR="00E74364">
        <w:rPr>
          <w:sz w:val="28"/>
          <w:szCs w:val="28"/>
        </w:rPr>
        <w:t>С</w:t>
      </w:r>
      <w:r w:rsidR="0080445D">
        <w:rPr>
          <w:sz w:val="28"/>
          <w:szCs w:val="28"/>
        </w:rPr>
        <w:t>кудная» зима 2014</w:t>
      </w:r>
    </w:p>
    <w:p w:rsidR="007F4AC4" w:rsidRDefault="007F4AC4">
      <w:pPr>
        <w:rPr>
          <w:b/>
        </w:rPr>
      </w:pPr>
      <w:r w:rsidRPr="007F4AC4">
        <w:rPr>
          <w:b/>
        </w:rPr>
        <w:t>З</w:t>
      </w:r>
      <w:r w:rsidR="0080445D">
        <w:rPr>
          <w:b/>
        </w:rPr>
        <w:t>имой 2014-го года (впервые за семь</w:t>
      </w:r>
      <w:r w:rsidRPr="007F4AC4">
        <w:rPr>
          <w:b/>
        </w:rPr>
        <w:t xml:space="preserve"> лет </w:t>
      </w:r>
      <w:r w:rsidR="0080445D">
        <w:rPr>
          <w:b/>
        </w:rPr>
        <w:t xml:space="preserve">наблюдений </w:t>
      </w:r>
      <w:proofErr w:type="spellStart"/>
      <w:r w:rsidR="0080445D">
        <w:rPr>
          <w:b/>
        </w:rPr>
        <w:t>Ромир</w:t>
      </w:r>
      <w:proofErr w:type="spellEnd"/>
      <w:r w:rsidR="0080445D">
        <w:rPr>
          <w:b/>
        </w:rPr>
        <w:t xml:space="preserve">) произошло сезонное снижение повседневных </w:t>
      </w:r>
      <w:r w:rsidRPr="007F4AC4">
        <w:rPr>
          <w:b/>
        </w:rPr>
        <w:t>расход</w:t>
      </w:r>
      <w:r w:rsidR="0080445D">
        <w:rPr>
          <w:b/>
        </w:rPr>
        <w:t>ов</w:t>
      </w:r>
      <w:r w:rsidRPr="007F4AC4">
        <w:rPr>
          <w:b/>
        </w:rPr>
        <w:t xml:space="preserve"> россиян на покупку продуктов питания и непродовольственных товаров</w:t>
      </w:r>
      <w:r w:rsidR="0080445D">
        <w:rPr>
          <w:b/>
        </w:rPr>
        <w:t>. На 2% в номинальном и на 8% в реальном (с учетом инфляции) выражении.</w:t>
      </w:r>
      <w:r w:rsidRPr="007F4AC4">
        <w:rPr>
          <w:b/>
        </w:rPr>
        <w:t xml:space="preserve"> </w:t>
      </w:r>
      <w:r w:rsidR="0080445D">
        <w:rPr>
          <w:b/>
        </w:rPr>
        <w:t>Однако</w:t>
      </w:r>
      <w:proofErr w:type="gramStart"/>
      <w:r w:rsidR="0080445D">
        <w:rPr>
          <w:b/>
        </w:rPr>
        <w:t>,</w:t>
      </w:r>
      <w:proofErr w:type="gramEnd"/>
      <w:r w:rsidR="0080445D">
        <w:rPr>
          <w:b/>
        </w:rPr>
        <w:t xml:space="preserve"> за три года номинальный рост составил 25%, а реальный – около 3%. А за пять лет н</w:t>
      </w:r>
      <w:r w:rsidR="001E5709">
        <w:rPr>
          <w:b/>
        </w:rPr>
        <w:t>оминальные расходы выросли на 74</w:t>
      </w:r>
      <w:r w:rsidR="0080445D">
        <w:rPr>
          <w:b/>
        </w:rPr>
        <w:t xml:space="preserve">%, реальные </w:t>
      </w:r>
      <w:r w:rsidR="001E5709">
        <w:rPr>
          <w:b/>
        </w:rPr>
        <w:t xml:space="preserve">более чем на </w:t>
      </w:r>
      <w:r w:rsidR="0080445D">
        <w:rPr>
          <w:b/>
        </w:rPr>
        <w:t>20</w:t>
      </w:r>
      <w:r w:rsidR="001E5709">
        <w:rPr>
          <w:b/>
        </w:rPr>
        <w:t>%.</w:t>
      </w:r>
      <w:r w:rsidR="00773BBD">
        <w:rPr>
          <w:b/>
        </w:rPr>
        <w:t xml:space="preserve"> Номинальный рост повседневных расходов за пять лет в точности совпал с номинальным ростом заработной платы за этот период. А доля повседневных расходов в совокупных доходах россиян вернулась к уровню 2008-го года.</w:t>
      </w:r>
    </w:p>
    <w:p w:rsidR="001E5709" w:rsidRDefault="00AF2425">
      <w:pPr>
        <w:rPr>
          <w:b/>
        </w:rPr>
      </w:pPr>
      <w:r>
        <w:rPr>
          <w:b/>
        </w:rPr>
        <w:t>В Москве и городах – «</w:t>
      </w:r>
      <w:proofErr w:type="spellStart"/>
      <w:r>
        <w:rPr>
          <w:b/>
        </w:rPr>
        <w:t>миллионниках</w:t>
      </w:r>
      <w:proofErr w:type="spellEnd"/>
      <w:r>
        <w:rPr>
          <w:b/>
        </w:rPr>
        <w:t xml:space="preserve">» снижение повседневного потребления оказалось более значительным, чем в городах с населением от 500 тысяч до миллиона жителей. </w:t>
      </w:r>
      <w:r w:rsidR="00F94922">
        <w:rPr>
          <w:b/>
        </w:rPr>
        <w:t xml:space="preserve">Сильнее всего сократилось повседневное потребление у семей среднего достатка, а </w:t>
      </w:r>
      <w:proofErr w:type="gramStart"/>
      <w:r w:rsidR="00F94922">
        <w:rPr>
          <w:b/>
        </w:rPr>
        <w:t>у</w:t>
      </w:r>
      <w:proofErr w:type="gramEnd"/>
      <w:r w:rsidR="00F94922">
        <w:rPr>
          <w:b/>
        </w:rPr>
        <w:t xml:space="preserve"> менее обеспеченных оно даже выросло на 5% в номинальном выражении.</w:t>
      </w:r>
    </w:p>
    <w:p w:rsidR="00F94922" w:rsidRDefault="00F94922">
      <w:pPr>
        <w:rPr>
          <w:b/>
        </w:rPr>
      </w:pPr>
    </w:p>
    <w:p w:rsidR="007F4AC4" w:rsidRPr="00157950" w:rsidRDefault="007F4AC4">
      <w:pPr>
        <w:rPr>
          <w:i/>
          <w:sz w:val="24"/>
          <w:szCs w:val="24"/>
        </w:rPr>
      </w:pPr>
      <w:r w:rsidRPr="00157950">
        <w:rPr>
          <w:b/>
          <w:i/>
          <w:sz w:val="24"/>
          <w:szCs w:val="24"/>
        </w:rPr>
        <w:t>ИГОРЬ Березин</w:t>
      </w:r>
      <w:r w:rsidRPr="00157950">
        <w:rPr>
          <w:i/>
          <w:sz w:val="24"/>
          <w:szCs w:val="24"/>
        </w:rPr>
        <w:t xml:space="preserve">, ведущий эксперт исследовательского холдинга </w:t>
      </w:r>
      <w:proofErr w:type="spellStart"/>
      <w:r w:rsidRPr="00157950">
        <w:rPr>
          <w:i/>
          <w:sz w:val="24"/>
          <w:szCs w:val="24"/>
        </w:rPr>
        <w:t>Ромир</w:t>
      </w:r>
      <w:proofErr w:type="spellEnd"/>
    </w:p>
    <w:p w:rsidR="007F4AC4" w:rsidRPr="00157950" w:rsidRDefault="007F4AC4">
      <w:pPr>
        <w:rPr>
          <w:i/>
          <w:sz w:val="24"/>
          <w:szCs w:val="24"/>
        </w:rPr>
      </w:pPr>
      <w:r w:rsidRPr="00157950">
        <w:rPr>
          <w:i/>
          <w:sz w:val="24"/>
          <w:szCs w:val="24"/>
        </w:rPr>
        <w:t xml:space="preserve">Президент Гильдии Маркетологов </w:t>
      </w:r>
    </w:p>
    <w:p w:rsidR="007F4AC4" w:rsidRDefault="007F4AC4"/>
    <w:p w:rsidR="003329CE" w:rsidRPr="00286B0A" w:rsidRDefault="001E5709" w:rsidP="0033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Сокращение</w:t>
      </w:r>
      <w:r w:rsidR="00E74364" w:rsidRPr="00286B0A">
        <w:rPr>
          <w:b/>
          <w:sz w:val="24"/>
          <w:szCs w:val="24"/>
        </w:rPr>
        <w:t xml:space="preserve"> номинальных расходов</w:t>
      </w:r>
    </w:p>
    <w:p w:rsidR="001E5709" w:rsidRDefault="001E5709" w:rsidP="003329CE">
      <w:r>
        <w:t xml:space="preserve">По данным исследовательского холдинга </w:t>
      </w:r>
      <w:proofErr w:type="spellStart"/>
      <w:r>
        <w:t>Ромир</w:t>
      </w:r>
      <w:proofErr w:type="spellEnd"/>
      <w:r>
        <w:t xml:space="preserve">, полученным на основе мониторинга повседневных покупок – </w:t>
      </w:r>
      <w:r w:rsidRPr="001E5709">
        <w:rPr>
          <w:b/>
        </w:rPr>
        <w:t>см. Справку</w:t>
      </w:r>
      <w:r>
        <w:t xml:space="preserve">,  зимой 2013-2014 года расходы на приобретение продуктов питания и непродовольственных товаров повседневного спроса сократились в номинальном выражении на 2% по сравнению с зимой 2012-2013 года. </w:t>
      </w:r>
      <w:proofErr w:type="gramStart"/>
      <w:r>
        <w:t>С учетом инфляции потребительского рынка (6,5% за год по данным Росстата)</w:t>
      </w:r>
      <w:r w:rsidR="00BD77CA">
        <w:t xml:space="preserve"> можно говорить о сокращении реального повседневного потребления примерно на 8%. Такое происходит впервые за весь период наблюдений </w:t>
      </w:r>
      <w:proofErr w:type="spellStart"/>
      <w:r w:rsidR="00BD77CA">
        <w:t>Ромир</w:t>
      </w:r>
      <w:proofErr w:type="spellEnd"/>
      <w:r w:rsidR="00BD77CA">
        <w:t xml:space="preserve"> (с 2007-го года) и, скорее всего</w:t>
      </w:r>
      <w:r w:rsidR="00217873">
        <w:t>,</w:t>
      </w:r>
      <w:r w:rsidR="00BD77CA">
        <w:t xml:space="preserve"> – впервые за последние 15 лет.</w:t>
      </w:r>
      <w:proofErr w:type="gramEnd"/>
    </w:p>
    <w:p w:rsidR="00F94922" w:rsidRDefault="002D7DEE" w:rsidP="003329CE">
      <w:r>
        <w:t>Первое объяснение такого резкого снижения потребительской активности – стагнация в экономике, угроза экономического спада, снижение курса национальной валюты к доллару и евро. Однако</w:t>
      </w:r>
      <w:proofErr w:type="gramStart"/>
      <w:r>
        <w:t>,</w:t>
      </w:r>
      <w:proofErr w:type="gramEnd"/>
      <w:r>
        <w:t xml:space="preserve"> это объяснение не выдерживает проверки историческими аналогиями. Зимой 2008 - 2009-го года рубль снизился к доллару и евро сильнее, чем нынешней зимой. В экономике была не стагнация, а реальный спад в 8% по ВВП и 12% по промышленному производству. Резко, более чем в 1,5 раза возросла безработица. Темпы роста заработной платы и доходов населения снизились до нуля (только с весны они стали расти в номинальном выражении). А вот повседневное потребление той зимой выросло на 27% в номинальном, и более чем на 10% в реальном выражении. По сравнению с благополучной зимой 2007 – 08 года. Так, в условиях реального, а не придуманного, экономического кризиса</w:t>
      </w:r>
      <w:r w:rsidR="00014B0C">
        <w:t xml:space="preserve"> население старалось защитить хотя бы достигнутый к тому времени уровень своего повседневного потребления.</w:t>
      </w:r>
      <w:r w:rsidR="000D2C86">
        <w:t xml:space="preserve"> Сегодня же мы имеем снижение потребительской активности на 2% </w:t>
      </w:r>
      <w:r w:rsidR="00217873">
        <w:t>в</w:t>
      </w:r>
      <w:r w:rsidR="000D2C86">
        <w:t xml:space="preserve"> номинальном выражении, на фоне роста номинальных доходов потребителей на 11% (к соответствующему периоду предыдущего года). </w:t>
      </w:r>
      <w:r w:rsidR="00217873">
        <w:t xml:space="preserve">Так, к примеру, средняя заработная плата (по данным Росстата) в январе 2014-го составляла 29 тыс. руб., а в январе 2013-го – 26 тыс. руб. </w:t>
      </w:r>
    </w:p>
    <w:p w:rsidR="00E74364" w:rsidRDefault="000D2C86" w:rsidP="003329CE">
      <w:r>
        <w:lastRenderedPageBreak/>
        <w:t>Очевидно, у этого феномена должно быть какое-то другое объяснение. Возможно, его удастся получить, если взглянуть на более длительный исторический период, чем один год.</w:t>
      </w:r>
      <w:r w:rsidR="00F94922">
        <w:t xml:space="preserve"> </w:t>
      </w:r>
      <w:r>
        <w:t>За три года (по сравнению с зимой 2010/11 года)</w:t>
      </w:r>
      <w:r w:rsidR="00217873">
        <w:t xml:space="preserve"> номинальные расходы на покупку повседневных товаров выросли на 25%. Что примерно на 3 процентных пункта выше роста потребительских цен за этот период</w:t>
      </w:r>
      <w:r>
        <w:t xml:space="preserve">. </w:t>
      </w:r>
      <w:r w:rsidR="00217873">
        <w:t xml:space="preserve">Таким образом, можно сделать вывод о том, что повседневные расходы в реальном выражении вернулись примерно к уровню зимы 2011-го и 2012-го гг. А это довольно высокий уровень. </w:t>
      </w:r>
      <w:r w:rsidR="00286B0A">
        <w:t xml:space="preserve">За пять лет </w:t>
      </w:r>
      <w:r w:rsidR="00217873">
        <w:t xml:space="preserve">(по сравнению с зимой 2008/09 года) </w:t>
      </w:r>
      <w:r w:rsidR="00286B0A">
        <w:t xml:space="preserve">номинальные расходы на продукты питания и товары повседневного потребления (без учета услуг и крупных покупок типа мебели и техники) выросли в номинальном выражении на </w:t>
      </w:r>
      <w:r w:rsidR="00217873">
        <w:t>74%</w:t>
      </w:r>
      <w:r w:rsidR="00286B0A">
        <w:t xml:space="preserve"> – </w:t>
      </w:r>
      <w:r w:rsidR="00286B0A" w:rsidRPr="001951AD">
        <w:rPr>
          <w:b/>
        </w:rPr>
        <w:t>см. Диаграмму 1</w:t>
      </w:r>
      <w:r w:rsidR="00286B0A">
        <w:t>.</w:t>
      </w:r>
      <w:r w:rsidR="001951AD">
        <w:t xml:space="preserve"> А с учетом накопленной за пять лет инфляции (около 45%) потребительского рынка можно говорить о более чем 20%-ном росте реальных</w:t>
      </w:r>
      <w:r w:rsidR="00B63969">
        <w:t xml:space="preserve"> повседневных расходов.</w:t>
      </w:r>
    </w:p>
    <w:p w:rsidR="00E74364" w:rsidRPr="00286B0A" w:rsidRDefault="00E74364" w:rsidP="003329CE">
      <w:pPr>
        <w:rPr>
          <w:b/>
        </w:rPr>
      </w:pPr>
      <w:r w:rsidRPr="00286B0A">
        <w:rPr>
          <w:b/>
        </w:rPr>
        <w:t xml:space="preserve">Диаграмма 1. </w:t>
      </w:r>
      <w:r w:rsidR="00286B0A" w:rsidRPr="00286B0A">
        <w:rPr>
          <w:b/>
        </w:rPr>
        <w:t>Динамика индекс</w:t>
      </w:r>
      <w:r w:rsidR="00771C3B">
        <w:rPr>
          <w:b/>
        </w:rPr>
        <w:t>ов</w:t>
      </w:r>
      <w:r w:rsidR="00286B0A" w:rsidRPr="00286B0A">
        <w:rPr>
          <w:b/>
        </w:rPr>
        <w:t xml:space="preserve"> повседневного потребления 2008 – 2013 гг. </w:t>
      </w:r>
      <w:r w:rsidR="00771C3B">
        <w:rPr>
          <w:b/>
        </w:rPr>
        <w:t>и средней заработной платы</w:t>
      </w:r>
      <w:r w:rsidR="00EC300D">
        <w:rPr>
          <w:b/>
        </w:rPr>
        <w:t xml:space="preserve"> в 4-м квартале года</w:t>
      </w:r>
      <w:r w:rsidR="00771C3B">
        <w:rPr>
          <w:b/>
        </w:rPr>
        <w:t xml:space="preserve">. </w:t>
      </w:r>
      <w:r w:rsidR="00286B0A" w:rsidRPr="00286B0A">
        <w:rPr>
          <w:b/>
        </w:rPr>
        <w:t xml:space="preserve">За 100 принято значение </w:t>
      </w:r>
      <w:r w:rsidR="00771C3B">
        <w:rPr>
          <w:b/>
        </w:rPr>
        <w:t xml:space="preserve">индекса потребления </w:t>
      </w:r>
      <w:r w:rsidR="001E5709">
        <w:rPr>
          <w:b/>
        </w:rPr>
        <w:t>зимы</w:t>
      </w:r>
      <w:r w:rsidR="00286B0A" w:rsidRPr="00286B0A">
        <w:rPr>
          <w:b/>
        </w:rPr>
        <w:t xml:space="preserve"> 2008</w:t>
      </w:r>
      <w:r w:rsidR="001E5709">
        <w:rPr>
          <w:b/>
        </w:rPr>
        <w:t>/09</w:t>
      </w:r>
      <w:r w:rsidR="00286B0A" w:rsidRPr="00286B0A">
        <w:rPr>
          <w:b/>
        </w:rPr>
        <w:t>-го</w:t>
      </w:r>
      <w:r w:rsidR="00771C3B">
        <w:rPr>
          <w:b/>
        </w:rPr>
        <w:t xml:space="preserve"> и средней заработной платы 4-го квартала 2008-го года</w:t>
      </w:r>
      <w:r w:rsidR="00286B0A" w:rsidRPr="00286B0A">
        <w:rPr>
          <w:b/>
        </w:rPr>
        <w:t>.</w:t>
      </w:r>
    </w:p>
    <w:p w:rsidR="00E74364" w:rsidRDefault="00771C3B" w:rsidP="003329CE">
      <w:r>
        <w:rPr>
          <w:noProof/>
          <w:lang w:eastAsia="ru-RU"/>
        </w:rPr>
        <w:drawing>
          <wp:inline distT="0" distB="0" distL="0" distR="0" wp14:anchorId="45E5AB2C" wp14:editId="16E481FE">
            <wp:extent cx="5486400" cy="26517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4364" w:rsidRPr="00286B0A" w:rsidRDefault="00E74364" w:rsidP="003329CE">
      <w:pPr>
        <w:rPr>
          <w:b/>
        </w:rPr>
      </w:pPr>
      <w:r w:rsidRPr="00286B0A">
        <w:rPr>
          <w:b/>
        </w:rPr>
        <w:t xml:space="preserve">Источник - </w:t>
      </w:r>
      <w:proofErr w:type="spellStart"/>
      <w:r w:rsidRPr="00286B0A">
        <w:rPr>
          <w:b/>
        </w:rPr>
        <w:t>Ромир</w:t>
      </w:r>
      <w:proofErr w:type="spellEnd"/>
    </w:p>
    <w:p w:rsidR="00771C3B" w:rsidRDefault="00771C3B" w:rsidP="003329CE"/>
    <w:p w:rsidR="00286B0A" w:rsidRDefault="00220462" w:rsidP="003329CE">
      <w:r>
        <w:t xml:space="preserve">Средняя заработная плата (и совокупные доходы населения) за </w:t>
      </w:r>
      <w:r w:rsidR="00EC300D">
        <w:t>пять лет</w:t>
      </w:r>
      <w:r>
        <w:t xml:space="preserve"> выросла в номинальном выражении </w:t>
      </w:r>
      <w:r w:rsidR="00EC300D">
        <w:t>на 76</w:t>
      </w:r>
      <w:r>
        <w:t>%</w:t>
      </w:r>
      <w:r w:rsidR="00EC300D">
        <w:t>. Мы сравниваем данные за 4-й квартал 2013-го года с данными за 4-й квартал 2008-го</w:t>
      </w:r>
      <w:r>
        <w:t xml:space="preserve">. Таким образом, темп роста повседневных потребительских расходов в номинальном выражении </w:t>
      </w:r>
      <w:r w:rsidR="00EC300D">
        <w:t xml:space="preserve">к концу пятилетки сравнялся с темпом роста заработной платы. </w:t>
      </w:r>
      <w:r w:rsidR="00C151F9">
        <w:t xml:space="preserve">И оба они существенно выше инфляции накопленной за пять лет. </w:t>
      </w:r>
      <w:r w:rsidR="00EC300D">
        <w:t xml:space="preserve">До этого, в течении как минимум четырех лет темпы роста повседневных расходов опережали темпы роста заработной платы – </w:t>
      </w:r>
      <w:r w:rsidR="00EC300D" w:rsidRPr="001951AD">
        <w:rPr>
          <w:b/>
        </w:rPr>
        <w:t>см. Диаграмму 1</w:t>
      </w:r>
      <w:r w:rsidR="00EC300D">
        <w:t xml:space="preserve">. </w:t>
      </w:r>
      <w:r w:rsidR="00C151F9">
        <w:t>Таким образом, если в 2009 – 2012-м гг. доля повседневных расходов в совокупных доходах россиян понемногу увеличивалась, то в 2013-м она сократилась и вернулась к уровням 2008-го года</w:t>
      </w:r>
      <w:r>
        <w:t>.</w:t>
      </w:r>
      <w:r w:rsidR="00C151F9">
        <w:t xml:space="preserve"> </w:t>
      </w:r>
      <w:r w:rsidR="00AF2425">
        <w:t xml:space="preserve">На долю продуктов питания и непродовольственных товаров повседневного спроса приходится примерно половина совокупных годовых расходов населения. </w:t>
      </w:r>
      <w:r w:rsidR="00C151F9">
        <w:t>При этом</w:t>
      </w:r>
      <w:proofErr w:type="gramStart"/>
      <w:r w:rsidR="00C151F9">
        <w:t>,</w:t>
      </w:r>
      <w:proofErr w:type="gramEnd"/>
      <w:r w:rsidR="00C151F9">
        <w:t xml:space="preserve"> акц</w:t>
      </w:r>
      <w:r w:rsidR="00A6538D">
        <w:t>е</w:t>
      </w:r>
      <w:r w:rsidR="00C151F9">
        <w:t>нтируем</w:t>
      </w:r>
      <w:r w:rsidR="00A6538D">
        <w:t>, речь идет именно о доле повседневных расходов в совокупных доходах. Размер и доходов, и расходов в номинальном выражении вырос значительно – на 74 – 76%.</w:t>
      </w:r>
    </w:p>
    <w:p w:rsidR="005F0086" w:rsidRDefault="005F0086" w:rsidP="003329CE"/>
    <w:p w:rsidR="00337B45" w:rsidRDefault="005F0086" w:rsidP="003329CE">
      <w:r>
        <w:lastRenderedPageBreak/>
        <w:t>Объясняя феномен опережающего роста повседневных расходов (до середины 2013-го года) по сравнению с ростом доходов и цен, мы указывали на то, что</w:t>
      </w:r>
      <w:r w:rsidR="00E16256">
        <w:t xml:space="preserve"> </w:t>
      </w:r>
      <w:r w:rsidR="00337B45">
        <w:t xml:space="preserve">тогда </w:t>
      </w:r>
      <w:r w:rsidR="00E16256">
        <w:t>происходи</w:t>
      </w:r>
      <w:r>
        <w:t>ло</w:t>
      </w:r>
      <w:r w:rsidR="00E16256">
        <w:t xml:space="preserve"> расширение потребительской «базы». Группы потребителей среднего достатка увеличива</w:t>
      </w:r>
      <w:r>
        <w:t>лись</w:t>
      </w:r>
      <w:r w:rsidR="00E16256">
        <w:t xml:space="preserve"> за счет</w:t>
      </w:r>
      <w:r w:rsidR="00534A63">
        <w:t xml:space="preserve"> тех, кто ранее находился в «зоне бедности» и был вынужден экономить даже на продуктах питания и товарах первой необходимости. Т</w:t>
      </w:r>
      <w:r w:rsidR="00AF2425">
        <w:t>огда</w:t>
      </w:r>
      <w:r w:rsidR="00534A63">
        <w:t>, выйдя из «зоны бедности»</w:t>
      </w:r>
      <w:r w:rsidR="00C03A2D">
        <w:t>,</w:t>
      </w:r>
      <w:r w:rsidR="00534A63">
        <w:t xml:space="preserve"> эти потребители «наверстыва</w:t>
      </w:r>
      <w:r>
        <w:t>ли</w:t>
      </w:r>
      <w:r w:rsidR="00534A63">
        <w:t xml:space="preserve"> </w:t>
      </w:r>
      <w:proofErr w:type="gramStart"/>
      <w:r w:rsidR="00534A63">
        <w:t>упущенное</w:t>
      </w:r>
      <w:proofErr w:type="gramEnd"/>
      <w:r w:rsidR="00534A63">
        <w:t>». На покупку мебели или автомобиля их возросших доходов еще не хвата</w:t>
      </w:r>
      <w:r>
        <w:t>ло</w:t>
      </w:r>
      <w:r w:rsidR="00534A63">
        <w:t>, но на нормальное питание и приобретение повседневных товаров – вполне. И мы даже  наз</w:t>
      </w:r>
      <w:r>
        <w:t>ывали эти</w:t>
      </w:r>
      <w:r w:rsidR="00534A63">
        <w:t xml:space="preserve"> большие социальные группы, покинувшие «зону бедности» за последние пять лет. Это: военнослужащие</w:t>
      </w:r>
      <w:r w:rsidR="00966D6B">
        <w:t xml:space="preserve"> и госслужащие</w:t>
      </w:r>
      <w:r w:rsidR="00534A63">
        <w:t xml:space="preserve">, врачи и учителя, часть пенсионеров. </w:t>
      </w:r>
      <w:r w:rsidR="00AE69E7">
        <w:t>Очевидно, что со второй половины 2013-го года действие этого фактора прекратилось. «Зона бедности» прекратила сокращаться. А довольно таки большая часть потребителей из группы «среднего достатка» - условного «нижнего среднего класса» неосмотрительно набрала необеспеченных кредитов. На 5 триллионов рублей к концу 2013-го года. Необходимость обслуживания этих кредитов может весьма негативно влиять на семейный бюджет таких домохозяйств</w:t>
      </w:r>
      <w:r w:rsidR="00AF2425">
        <w:t>,</w:t>
      </w:r>
      <w:r w:rsidR="00AE69E7">
        <w:t xml:space="preserve"> заставляя их экономить</w:t>
      </w:r>
      <w:r w:rsidR="00337B45">
        <w:t xml:space="preserve"> даже на приобретении продуктов питания и непродовольственных товаров повседневного спроса. Благо, накопленный достаточно высокий уровень повседневного потребления позволял проводить такую «оптимизацию» без угрозы посадить свои семьи на «голодный паек».</w:t>
      </w:r>
    </w:p>
    <w:p w:rsidR="00E16256" w:rsidRDefault="00337B45" w:rsidP="003329CE">
      <w:r>
        <w:t>Так что снижение темпов роста кредитования населения, наметившееся в конце 2013-го – начале 2014-го года может (с лагом в несколько месяцев) положительно сказаться на восстановлении темпов роста повседневного потребления. Хотя бы – номинальных. На уровне не ниже темпов роста потребительских цен, но и не выше номинальных темпов роста доходов и заработной платы.</w:t>
      </w:r>
    </w:p>
    <w:p w:rsidR="00534A63" w:rsidRDefault="00534A63" w:rsidP="003329CE"/>
    <w:p w:rsidR="00E74364" w:rsidRPr="007C5C10" w:rsidRDefault="007C5C10" w:rsidP="003329CE">
      <w:pPr>
        <w:rPr>
          <w:b/>
          <w:sz w:val="24"/>
          <w:szCs w:val="24"/>
        </w:rPr>
      </w:pPr>
      <w:r w:rsidRPr="007C5C10">
        <w:rPr>
          <w:b/>
          <w:sz w:val="24"/>
          <w:szCs w:val="24"/>
        </w:rPr>
        <w:t xml:space="preserve">Москва и </w:t>
      </w:r>
      <w:r w:rsidR="00773BBD">
        <w:rPr>
          <w:b/>
          <w:sz w:val="24"/>
          <w:szCs w:val="24"/>
        </w:rPr>
        <w:t>другие города</w:t>
      </w:r>
    </w:p>
    <w:p w:rsidR="00E74364" w:rsidRDefault="00381819" w:rsidP="003329CE">
      <w:r>
        <w:t>Снижение повседневного потребления зимой 2013/14 –</w:t>
      </w:r>
      <w:proofErr w:type="spellStart"/>
      <w:r>
        <w:t>го</w:t>
      </w:r>
      <w:proofErr w:type="spellEnd"/>
      <w:r>
        <w:t xml:space="preserve"> года это, прежде всего феномен московский</w:t>
      </w:r>
      <w:r w:rsidR="007F7764">
        <w:t>, и</w:t>
      </w:r>
      <w:r>
        <w:t xml:space="preserve"> отчасти других городов – «</w:t>
      </w:r>
      <w:proofErr w:type="spellStart"/>
      <w:r>
        <w:t>миллионников</w:t>
      </w:r>
      <w:proofErr w:type="spellEnd"/>
      <w:r>
        <w:t>»</w:t>
      </w:r>
      <w:proofErr w:type="gramStart"/>
      <w:r>
        <w:t>.</w:t>
      </w:r>
      <w:proofErr w:type="gramEnd"/>
      <w:r w:rsidR="007F7764">
        <w:t xml:space="preserve"> – </w:t>
      </w:r>
      <w:proofErr w:type="gramStart"/>
      <w:r w:rsidR="007F7764" w:rsidRPr="007F7764">
        <w:rPr>
          <w:b/>
        </w:rPr>
        <w:t>с</w:t>
      </w:r>
      <w:proofErr w:type="gramEnd"/>
      <w:r w:rsidR="007F7764" w:rsidRPr="007F7764">
        <w:rPr>
          <w:b/>
        </w:rPr>
        <w:t xml:space="preserve">м. Диаграмму </w:t>
      </w:r>
      <w:r w:rsidR="00773BBD">
        <w:rPr>
          <w:b/>
        </w:rPr>
        <w:t>2</w:t>
      </w:r>
      <w:r w:rsidR="007F7764">
        <w:t>.</w:t>
      </w:r>
      <w:r>
        <w:t xml:space="preserve"> Действительно, в Москве и городах с населением более миллиона жителей повседневные расходы снились в номинальном выражении на 5% по сравнению с уровнем зимы 2012/13-го года. С учетом инфляции снижение реальных расходов превысило 10%.</w:t>
      </w:r>
      <w:r w:rsidR="00B056D3">
        <w:t xml:space="preserve"> При этом надо понимать, что и «стартовый» уровень 2008-го года был в Москве куда выше (по повседневному потреблению как минимум в 1,5 раза), чем в других городах. И предыдущий (в 2005 – 2008 гг.) рост более значительный; и возможностей для «оптимизации» расходов куда больше. А за пять лет повседневные расходы в Москве выросли более чем в 1,5 раза, обогнав инфляцию на 7%. </w:t>
      </w:r>
    </w:p>
    <w:p w:rsidR="00B056D3" w:rsidRDefault="00B056D3" w:rsidP="003329CE">
      <w:r>
        <w:t>В городах с населением более миллиона жителей за пять лет номинальные повседневные расходы выросли на 72%, обогнав инфляцию почти на 20%. Еще лучше обстоят дела в городах с населением от 500 тысяч до миллиона жителей. Там номинальный рост составил почти два раза (96%) за пять лет</w:t>
      </w:r>
      <w:r w:rsidR="009F2D03">
        <w:t>. А реальный – 35%, что очень даже не мало. При этом зимой 2013/14-го года в этих городах не было снижения номинального уровня повседневного потребления. Как впрочем, не было и роста. Но, конечно, надо учитывать, что «стартовый» уровень в этих городах был значительно ниже, чем в Москве и немного ниже, чем в «</w:t>
      </w:r>
      <w:proofErr w:type="spellStart"/>
      <w:r w:rsidR="009F2D03">
        <w:t>миллионниках</w:t>
      </w:r>
      <w:proofErr w:type="spellEnd"/>
      <w:r w:rsidR="009F2D03">
        <w:t>».</w:t>
      </w:r>
    </w:p>
    <w:p w:rsidR="007C5C10" w:rsidRDefault="007C5C10"/>
    <w:p w:rsidR="007C5C10" w:rsidRPr="00522095" w:rsidRDefault="007C5C10">
      <w:pPr>
        <w:rPr>
          <w:b/>
        </w:rPr>
      </w:pPr>
      <w:r w:rsidRPr="00522095">
        <w:rPr>
          <w:b/>
        </w:rPr>
        <w:lastRenderedPageBreak/>
        <w:t xml:space="preserve">Диаграмма </w:t>
      </w:r>
      <w:r w:rsidR="00773BBD">
        <w:rPr>
          <w:b/>
        </w:rPr>
        <w:t>2</w:t>
      </w:r>
      <w:r w:rsidRPr="00522095">
        <w:rPr>
          <w:b/>
        </w:rPr>
        <w:t>.</w:t>
      </w:r>
      <w:r w:rsidR="00522095" w:rsidRPr="00522095">
        <w:rPr>
          <w:b/>
        </w:rPr>
        <w:t xml:space="preserve"> Динамика индекса повседневного потребления в 2008 – 2013 гг. в городах различного размера. За 100% принято значение </w:t>
      </w:r>
      <w:r w:rsidR="00381819">
        <w:rPr>
          <w:b/>
        </w:rPr>
        <w:t>Зимы</w:t>
      </w:r>
      <w:r w:rsidR="00522095" w:rsidRPr="00522095">
        <w:rPr>
          <w:b/>
        </w:rPr>
        <w:t xml:space="preserve"> 2008</w:t>
      </w:r>
      <w:r w:rsidR="00381819">
        <w:rPr>
          <w:b/>
        </w:rPr>
        <w:t>/09</w:t>
      </w:r>
      <w:r w:rsidR="00522095" w:rsidRPr="00522095">
        <w:rPr>
          <w:b/>
        </w:rPr>
        <w:t>-го года.</w:t>
      </w:r>
    </w:p>
    <w:p w:rsidR="007C5C10" w:rsidRDefault="007C5C10">
      <w:r>
        <w:rPr>
          <w:noProof/>
          <w:lang w:eastAsia="ru-RU"/>
        </w:rPr>
        <w:drawing>
          <wp:inline distT="0" distB="0" distL="0" distR="0">
            <wp:extent cx="5486400" cy="2331720"/>
            <wp:effectExtent l="0" t="0" r="1905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5C10" w:rsidRDefault="007C5C10">
      <w:r w:rsidRPr="00C03A2D">
        <w:rPr>
          <w:b/>
        </w:rPr>
        <w:t xml:space="preserve">Источник </w:t>
      </w:r>
      <w:r>
        <w:rPr>
          <w:b/>
        </w:rPr>
        <w:t>–</w:t>
      </w:r>
      <w:r w:rsidRPr="00C03A2D">
        <w:rPr>
          <w:b/>
        </w:rPr>
        <w:t xml:space="preserve"> </w:t>
      </w:r>
      <w:proofErr w:type="spellStart"/>
      <w:r w:rsidRPr="00C03A2D">
        <w:rPr>
          <w:b/>
        </w:rPr>
        <w:t>Ромир</w:t>
      </w:r>
      <w:proofErr w:type="spellEnd"/>
    </w:p>
    <w:p w:rsidR="007C5C10" w:rsidRDefault="007C5C10"/>
    <w:p w:rsidR="00A62C10" w:rsidRPr="003329CE" w:rsidRDefault="009F2D03" w:rsidP="007F7764">
      <w:r>
        <w:t>А вот Санкт-Петербург этой зимой просто порадовал</w:t>
      </w:r>
      <w:r w:rsidR="00A62C10">
        <w:t>.</w:t>
      </w:r>
      <w:r>
        <w:t xml:space="preserve"> Номинальный рост повседневных расходов за год составил 10,5%. Что даже с поправкой на инфляцию дает 3,5% уверенного роста реальных расходов. За пять лет повседневные расходы в Петербурге выросли более чем вдвое</w:t>
      </w:r>
      <w:r w:rsidR="00806F91">
        <w:t>, а реальные</w:t>
      </w:r>
      <w:r w:rsidR="00AF2425">
        <w:t xml:space="preserve"> - </w:t>
      </w:r>
      <w:r w:rsidR="00806F91">
        <w:t xml:space="preserve"> </w:t>
      </w:r>
      <w:proofErr w:type="gramStart"/>
      <w:r w:rsidR="00806F91">
        <w:t>на</w:t>
      </w:r>
      <w:proofErr w:type="gramEnd"/>
      <w:r w:rsidR="00806F91">
        <w:t xml:space="preserve"> впечатляющие 45% (т.е. – почти в 1,5 раза). Впрочем, темпы роста повседневных расходов в северной столице России всегда отличались крайней неравномерностью. За бурным ростом 2009 – 2010 гг. </w:t>
      </w:r>
      <w:r w:rsidR="00AF2425">
        <w:t>по</w:t>
      </w:r>
      <w:r w:rsidR="00806F91">
        <w:t>следова</w:t>
      </w:r>
      <w:r w:rsidR="00AF2425">
        <w:t>ла</w:t>
      </w:r>
      <w:r w:rsidR="00806F91">
        <w:t xml:space="preserve"> стагнация 2011 – 2012. А теперь вот и ро</w:t>
      </w:r>
      <w:proofErr w:type="gramStart"/>
      <w:r w:rsidR="00806F91">
        <w:t>ст в пр</w:t>
      </w:r>
      <w:proofErr w:type="gramEnd"/>
      <w:r w:rsidR="00806F91">
        <w:t xml:space="preserve">отивофазе общероссийского спада </w:t>
      </w:r>
      <w:r w:rsidR="003A4E8D">
        <w:t xml:space="preserve">– </w:t>
      </w:r>
      <w:r w:rsidR="003A4E8D">
        <w:rPr>
          <w:b/>
        </w:rPr>
        <w:t>см. Диаграмму 2</w:t>
      </w:r>
      <w:r w:rsidR="003A4E8D">
        <w:t xml:space="preserve">. </w:t>
      </w:r>
    </w:p>
    <w:p w:rsidR="007F7764" w:rsidRDefault="007F7764" w:rsidP="007F7764"/>
    <w:p w:rsidR="007C5C10" w:rsidRPr="00BC6CA0" w:rsidRDefault="00AF242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EBB" w:rsidRPr="00BC6CA0">
        <w:rPr>
          <w:b/>
          <w:sz w:val="24"/>
          <w:szCs w:val="24"/>
        </w:rPr>
        <w:t>Богатые» и «бедные»</w:t>
      </w:r>
    </w:p>
    <w:p w:rsidR="00BC6CA0" w:rsidRDefault="00595185">
      <w:r>
        <w:t>Группа семей с доходами ниже среднего уровня увеличила расходы на повседневное потребление зимой 2013/14-го года по сравнению с прошлой зимой на 5% в номинальном выражении. С учетом инфляции можно говорить о снижении потребления в пределах 1,5%. Это вполне объяснимо. Обладая крайне ограниченными финансовыми ресурсами, эти потребители на протяжении многих лет вынуждены «оптимизировать» свои повседневные расходы. И резервов для дальнейшей экономии и «оптимизации» у таких домохозяйств совсем не много</w:t>
      </w:r>
      <w:proofErr w:type="gramStart"/>
      <w:r>
        <w:t>.</w:t>
      </w:r>
      <w:proofErr w:type="gramEnd"/>
      <w:r>
        <w:t xml:space="preserve"> За три года повседневные расходы этой группы семей выросли более чем на 30% в номинальном выражении</w:t>
      </w:r>
      <w:proofErr w:type="gramStart"/>
      <w:r>
        <w:t>.</w:t>
      </w:r>
      <w:proofErr w:type="gramEnd"/>
      <w:r>
        <w:t xml:space="preserve"> С учетом инфляции можно говорить о росте реального потребления на 8% за три года. </w:t>
      </w:r>
      <w:r w:rsidR="00404488">
        <w:t>За пять лет (по сравнению с зимой 2008/09-го года)</w:t>
      </w:r>
      <w:r w:rsidR="00903E67">
        <w:t xml:space="preserve"> </w:t>
      </w:r>
      <w:r w:rsidR="00404488">
        <w:t>номинальный рост расходов в этой группе составил 77%</w:t>
      </w:r>
      <w:r w:rsidR="00581D1C">
        <w:t xml:space="preserve"> - </w:t>
      </w:r>
      <w:r w:rsidR="00581D1C" w:rsidRPr="00581D1C">
        <w:rPr>
          <w:b/>
        </w:rPr>
        <w:t>см. Диаграмму 3</w:t>
      </w:r>
      <w:r w:rsidR="00404488">
        <w:t>, а реальный – около 22%. При этом надо, конечно, помнить о том, что стартовый уровень потребления в этой группе был значительно ниже, чем у семей среднего достатка.</w:t>
      </w:r>
    </w:p>
    <w:p w:rsidR="00F94922" w:rsidRDefault="00404488">
      <w:r>
        <w:t xml:space="preserve">Семьи с доходом выше среднего уровня зимой 2013/14-го года сохранили номинальное потребление на уровне предыдущего года. С учетом инфляции можно говорить о снижении реальных расходов на 6 – 6,5%. Однако, такое снижение вовсе не означает ухудшения уровня жизни у этой группы потребителей. «Оптимизация» расходов на повседневное потребление у обеспеченных потребителей может происходить </w:t>
      </w:r>
      <w:proofErr w:type="gramStart"/>
      <w:r>
        <w:t>достаточно безболезненно</w:t>
      </w:r>
      <w:proofErr w:type="gramEnd"/>
      <w:r>
        <w:t xml:space="preserve">. </w:t>
      </w:r>
      <w:r w:rsidR="00F94922">
        <w:t xml:space="preserve">                         </w:t>
      </w:r>
      <w:r>
        <w:lastRenderedPageBreak/>
        <w:t>Например – за счет переключения на более</w:t>
      </w:r>
      <w:r w:rsidR="00F94922">
        <w:t xml:space="preserve"> крупные упаковки приобретаемых </w:t>
      </w:r>
      <w:r>
        <w:t>товаров/</w:t>
      </w:r>
      <w:r w:rsidR="00F94922">
        <w:t xml:space="preserve"> </w:t>
      </w:r>
      <w:r>
        <w:t>продуктов. К примеру, бутилированная вода в 1,5 литровых бутылках стоит (в расчете на литр)</w:t>
      </w:r>
      <w:r w:rsidR="00581D1C">
        <w:t xml:space="preserve"> как минимум в два раза дешевле, чем в бутылках по 0,5 литра. И даже не придется менять марку потребляемого продукта. Другой способ «оптимизации» - активное использование специальных предложений (например – новогодних). Имея свободные денежные средства (а обеспеченные семьи их, конечно, имеют) легче сделать «мелкооптовые» закупки кофе или шоколада, других продуктов длительного хранения по выгодным ценам. И данные панели </w:t>
      </w:r>
      <w:proofErr w:type="spellStart"/>
      <w:r w:rsidR="00581D1C">
        <w:t>Ромир</w:t>
      </w:r>
      <w:proofErr w:type="spellEnd"/>
      <w:r w:rsidR="00581D1C">
        <w:t xml:space="preserve"> – </w:t>
      </w:r>
      <w:r w:rsidR="00581D1C" w:rsidRPr="00581D1C">
        <w:rPr>
          <w:b/>
        </w:rPr>
        <w:t>см. Справку</w:t>
      </w:r>
      <w:r w:rsidR="00581D1C">
        <w:t xml:space="preserve"> свидетельствуют о том, что обеспеченные потребители такими возможностями активно пользуются. И, наконец, нельзя исключать, что небольшое снижение домашнего потребления в группе обеспеченных потребителей могло произойти за счет увеличения внедомашнего потребления: кафе, рестораны, дома отдыха и т.п. </w:t>
      </w:r>
    </w:p>
    <w:p w:rsidR="00404488" w:rsidRDefault="00581D1C">
      <w:r>
        <w:t>За пять лет обеспеченные потребители увеличили повседневное потребление на 60% в номинальном выражении. С учетом инфляции можно говорить о росте реального потребления у этой группы на 10%.</w:t>
      </w:r>
    </w:p>
    <w:p w:rsidR="00F94922" w:rsidRDefault="00F94922" w:rsidP="00BC6CA0">
      <w:pPr>
        <w:rPr>
          <w:b/>
        </w:rPr>
      </w:pPr>
    </w:p>
    <w:p w:rsidR="00BC6CA0" w:rsidRPr="00522095" w:rsidRDefault="00AF2425" w:rsidP="00BC6CA0">
      <w:pPr>
        <w:rPr>
          <w:b/>
        </w:rPr>
      </w:pPr>
      <w:r>
        <w:rPr>
          <w:b/>
        </w:rPr>
        <w:t>Диаграмма 3</w:t>
      </w:r>
      <w:r w:rsidR="00BC6CA0" w:rsidRPr="00522095">
        <w:rPr>
          <w:b/>
        </w:rPr>
        <w:t xml:space="preserve">. Динамика индекса повседневного потребления в 2008 – 2013 гг. </w:t>
      </w:r>
      <w:r w:rsidR="00BC6CA0">
        <w:rPr>
          <w:b/>
        </w:rPr>
        <w:t>по различным доходным группам потребителей</w:t>
      </w:r>
      <w:r w:rsidR="00BC6CA0" w:rsidRPr="00522095">
        <w:rPr>
          <w:b/>
        </w:rPr>
        <w:t xml:space="preserve">. </w:t>
      </w:r>
      <w:r w:rsidR="00C341C6" w:rsidRPr="00522095">
        <w:rPr>
          <w:b/>
        </w:rPr>
        <w:t xml:space="preserve">За 100% принято значение </w:t>
      </w:r>
      <w:r w:rsidR="00C341C6">
        <w:rPr>
          <w:b/>
        </w:rPr>
        <w:t>Зимы</w:t>
      </w:r>
      <w:r w:rsidR="00C341C6" w:rsidRPr="00522095">
        <w:rPr>
          <w:b/>
        </w:rPr>
        <w:t xml:space="preserve"> 2008</w:t>
      </w:r>
      <w:r w:rsidR="00C341C6">
        <w:rPr>
          <w:b/>
        </w:rPr>
        <w:t>/09</w:t>
      </w:r>
      <w:r w:rsidR="00C341C6" w:rsidRPr="00522095">
        <w:rPr>
          <w:b/>
        </w:rPr>
        <w:t>-го года.</w:t>
      </w:r>
    </w:p>
    <w:p w:rsidR="00BC6CA0" w:rsidRDefault="00BC6CA0" w:rsidP="00BC6CA0">
      <w:r>
        <w:rPr>
          <w:noProof/>
          <w:lang w:eastAsia="ru-RU"/>
        </w:rPr>
        <w:drawing>
          <wp:inline distT="0" distB="0" distL="0" distR="0" wp14:anchorId="3F48535C" wp14:editId="54B2B3A2">
            <wp:extent cx="5486400" cy="2331720"/>
            <wp:effectExtent l="0" t="0" r="190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CA0" w:rsidRDefault="00BC6CA0" w:rsidP="00BC6CA0">
      <w:r w:rsidRPr="00C03A2D">
        <w:rPr>
          <w:b/>
        </w:rPr>
        <w:t xml:space="preserve">Источник </w:t>
      </w:r>
      <w:r>
        <w:rPr>
          <w:b/>
        </w:rPr>
        <w:t>–</w:t>
      </w:r>
      <w:r w:rsidRPr="00C03A2D">
        <w:rPr>
          <w:b/>
        </w:rPr>
        <w:t xml:space="preserve"> </w:t>
      </w:r>
      <w:proofErr w:type="spellStart"/>
      <w:r w:rsidRPr="00C03A2D">
        <w:rPr>
          <w:b/>
        </w:rPr>
        <w:t>Ромир</w:t>
      </w:r>
      <w:proofErr w:type="spellEnd"/>
    </w:p>
    <w:p w:rsidR="00BC6CA0" w:rsidRDefault="00BC6CA0" w:rsidP="00BC6CA0"/>
    <w:p w:rsidR="009A45DC" w:rsidRDefault="009A45DC" w:rsidP="00BC6CA0">
      <w:r>
        <w:t xml:space="preserve">Существенно хуже обстоят дела у потребителей со средним уровнем достатка. У этой группы семей повседневное потребление зимой 2013/14-го года снизилось (по сравнению с прошлой зимой) на 9% в номинальном и на 15% в реальном выражении. Похоже на то, что «среднему классу» пришлось задействовать различные методы «оптимизации» повседневных расходов. И переключение на более крупные упаковки, и переключение на менее дорогие продукты внутри категории, и переключение на менее дорогие категории – заменители, и увеличение количества посещаемых магазинов в поисках лучшей цены. И, возможно, даже </w:t>
      </w:r>
      <w:r w:rsidR="00F94922">
        <w:t xml:space="preserve">- </w:t>
      </w:r>
      <w:r>
        <w:t>снижение</w:t>
      </w:r>
      <w:r w:rsidR="00967DD6">
        <w:t xml:space="preserve"> натуральных объемов потребления отдельных продуктовых категорий. За пять лет номинальные расходы «среднего класса» выросли только на 55% (чуть более чем в 1,5 раза), а реальные – на 7%. Однако, надо помнить, что стартовый уровень потребления в этой группе был существенно выше, чем у семей с доходами ниже среднего уровня.</w:t>
      </w:r>
    </w:p>
    <w:p w:rsidR="00C341C6" w:rsidRDefault="00581D1C" w:rsidP="00BC6CA0">
      <w:r>
        <w:lastRenderedPageBreak/>
        <w:t>Хотелось бы также обратить внимание на тот факт, что локальное расхожден</w:t>
      </w:r>
      <w:r w:rsidR="009A45DC">
        <w:t xml:space="preserve">ие в темпах роста повседневных расходов между различными группами потребителей случалось и ранее. Зимой 2009/10-го и зимой 2011/12-го годов. Но затем (Зимой 2010/11 и Зимой 2012/2013) темпы роста выравнивались </w:t>
      </w:r>
      <w:r w:rsidR="009A45DC" w:rsidRPr="009A45DC">
        <w:rPr>
          <w:b/>
        </w:rPr>
        <w:t>– см. Диаграмму 3</w:t>
      </w:r>
      <w:r w:rsidR="009A45DC">
        <w:t>. Возможно, к следующей зиме они опять сблизятся.</w:t>
      </w:r>
    </w:p>
    <w:p w:rsidR="00F94922" w:rsidRDefault="00F94922" w:rsidP="00BC6CA0"/>
    <w:p w:rsidR="00903E67" w:rsidRDefault="00903E67" w:rsidP="00BC6CA0">
      <w:r>
        <w:t xml:space="preserve">Конечно, нашей выборкой изначально (и принципиально) не </w:t>
      </w:r>
      <w:proofErr w:type="gramStart"/>
      <w:r>
        <w:t>охвачены</w:t>
      </w:r>
      <w:proofErr w:type="gramEnd"/>
      <w:r>
        <w:t xml:space="preserve"> </w:t>
      </w:r>
      <w:r w:rsidR="00F94922">
        <w:t>1 – 2</w:t>
      </w:r>
      <w:r>
        <w:t>% самых богатых и 1</w:t>
      </w:r>
      <w:r w:rsidR="00F94922">
        <w:t>4</w:t>
      </w:r>
      <w:r>
        <w:t xml:space="preserve"> – </w:t>
      </w:r>
      <w:r w:rsidR="00F94922">
        <w:t>18</w:t>
      </w:r>
      <w:r>
        <w:t xml:space="preserve">% наименее обеспеченных горожан. Но, ни нувориши, ни представители «социального дна» не являются значимой (и кому-то </w:t>
      </w:r>
      <w:r w:rsidR="00F94922">
        <w:t xml:space="preserve">кроме социологов и социальных служб </w:t>
      </w:r>
      <w:r>
        <w:t>интересной) группой на рынках товаров повседневного спроса и продуктов питания.</w:t>
      </w:r>
      <w:r w:rsidR="00123831">
        <w:t xml:space="preserve"> Так что наша выборка вполне адекватно представляет 80</w:t>
      </w:r>
      <w:r w:rsidR="00F94922">
        <w:t xml:space="preserve"> – 85</w:t>
      </w:r>
      <w:r w:rsidR="00123831">
        <w:t>% всех потребителей и 90% объемов повседневного потребления.</w:t>
      </w:r>
    </w:p>
    <w:p w:rsidR="007C5C10" w:rsidRDefault="007C5C10"/>
    <w:p w:rsidR="001E5709" w:rsidRPr="003329CE" w:rsidRDefault="001E5709" w:rsidP="001E5709">
      <w:pPr>
        <w:rPr>
          <w:b/>
        </w:rPr>
      </w:pPr>
      <w:r>
        <w:rPr>
          <w:b/>
        </w:rPr>
        <w:t>_______________________</w:t>
      </w:r>
      <w:r w:rsidRPr="003329CE">
        <w:rPr>
          <w:b/>
        </w:rPr>
        <w:t xml:space="preserve">СПРАВКА: </w:t>
      </w:r>
      <w:bookmarkStart w:id="0" w:name="_GoBack"/>
      <w:bookmarkEnd w:id="0"/>
    </w:p>
    <w:p w:rsidR="001E5709" w:rsidRPr="003329CE" w:rsidRDefault="001E5709" w:rsidP="001E5709">
      <w:r w:rsidRPr="003329CE">
        <w:t xml:space="preserve">Исследовательский холдинг </w:t>
      </w:r>
      <w:proofErr w:type="spellStart"/>
      <w:r w:rsidRPr="003329CE">
        <w:t>Ромир</w:t>
      </w:r>
      <w:proofErr w:type="spellEnd"/>
      <w:r w:rsidRPr="003329CE">
        <w:t xml:space="preserve"> разработал новый инструмент измерения потребительской активности – </w:t>
      </w:r>
      <w:r w:rsidRPr="003329CE">
        <w:rPr>
          <w:i/>
        </w:rPr>
        <w:t>«</w:t>
      </w:r>
      <w:proofErr w:type="spellStart"/>
      <w:r w:rsidRPr="003329CE">
        <w:rPr>
          <w:i/>
        </w:rPr>
        <w:t>Ромир</w:t>
      </w:r>
      <w:proofErr w:type="spellEnd"/>
      <w:r w:rsidRPr="003329CE">
        <w:rPr>
          <w:i/>
        </w:rPr>
        <w:t xml:space="preserve"> - индексы покупательской активности»</w:t>
      </w:r>
      <w:r w:rsidRPr="003329CE">
        <w:t>, рассчитываемые на основе панели из 3600 домохозяйств, оснащенных сканерами штрих кодов.</w:t>
      </w:r>
    </w:p>
    <w:p w:rsidR="001E5709" w:rsidRPr="003329CE" w:rsidRDefault="001E5709" w:rsidP="001E5709">
      <w:r w:rsidRPr="003329CE">
        <w:rPr>
          <w:i/>
        </w:rPr>
        <w:t>«</w:t>
      </w:r>
      <w:proofErr w:type="spellStart"/>
      <w:r w:rsidRPr="003329CE">
        <w:rPr>
          <w:i/>
        </w:rPr>
        <w:t>Ромир</w:t>
      </w:r>
      <w:proofErr w:type="spellEnd"/>
      <w:r w:rsidRPr="003329CE">
        <w:rPr>
          <w:i/>
        </w:rPr>
        <w:t xml:space="preserve"> - индексы покупательской активности»</w:t>
      </w:r>
      <w:r w:rsidRPr="003329CE"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1E5709" w:rsidRDefault="001E5709" w:rsidP="001E5709">
      <w:r w:rsidRPr="003329CE"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</w:p>
    <w:p w:rsidR="001E5709" w:rsidRPr="003329CE" w:rsidRDefault="001E5709" w:rsidP="001E5709">
      <w:r>
        <w:t>________________________________________________________________</w:t>
      </w:r>
    </w:p>
    <w:p w:rsidR="001E5709" w:rsidRDefault="001E5709"/>
    <w:sectPr w:rsidR="001E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6"/>
    <w:rsid w:val="00014B0C"/>
    <w:rsid w:val="000A20E6"/>
    <w:rsid w:val="000D2C86"/>
    <w:rsid w:val="001045B6"/>
    <w:rsid w:val="00113E34"/>
    <w:rsid w:val="00123831"/>
    <w:rsid w:val="00157950"/>
    <w:rsid w:val="001951AD"/>
    <w:rsid w:val="001E5709"/>
    <w:rsid w:val="00217873"/>
    <w:rsid w:val="00220462"/>
    <w:rsid w:val="00286B0A"/>
    <w:rsid w:val="002D7DEE"/>
    <w:rsid w:val="003329CE"/>
    <w:rsid w:val="00337B45"/>
    <w:rsid w:val="00381819"/>
    <w:rsid w:val="003A4E8D"/>
    <w:rsid w:val="00404488"/>
    <w:rsid w:val="00425A07"/>
    <w:rsid w:val="00433F3A"/>
    <w:rsid w:val="004B39B8"/>
    <w:rsid w:val="004D7DC5"/>
    <w:rsid w:val="004F7779"/>
    <w:rsid w:val="00522095"/>
    <w:rsid w:val="00534A63"/>
    <w:rsid w:val="00581D1C"/>
    <w:rsid w:val="00595185"/>
    <w:rsid w:val="005F0086"/>
    <w:rsid w:val="006346FF"/>
    <w:rsid w:val="00693EEB"/>
    <w:rsid w:val="006D7F49"/>
    <w:rsid w:val="00740960"/>
    <w:rsid w:val="00771C3B"/>
    <w:rsid w:val="00773BBD"/>
    <w:rsid w:val="007C5C10"/>
    <w:rsid w:val="007F1036"/>
    <w:rsid w:val="007F4AC4"/>
    <w:rsid w:val="007F7764"/>
    <w:rsid w:val="0080445D"/>
    <w:rsid w:val="00806F91"/>
    <w:rsid w:val="008B177A"/>
    <w:rsid w:val="00903E67"/>
    <w:rsid w:val="0092123B"/>
    <w:rsid w:val="00966D6B"/>
    <w:rsid w:val="00967DD6"/>
    <w:rsid w:val="00982247"/>
    <w:rsid w:val="009A45DC"/>
    <w:rsid w:val="009F2D03"/>
    <w:rsid w:val="00A07159"/>
    <w:rsid w:val="00A511F6"/>
    <w:rsid w:val="00A62C10"/>
    <w:rsid w:val="00A6538D"/>
    <w:rsid w:val="00AE69E7"/>
    <w:rsid w:val="00AF2425"/>
    <w:rsid w:val="00B056D3"/>
    <w:rsid w:val="00B63969"/>
    <w:rsid w:val="00BC6CA0"/>
    <w:rsid w:val="00BD77CA"/>
    <w:rsid w:val="00BE5102"/>
    <w:rsid w:val="00C03494"/>
    <w:rsid w:val="00C03A2D"/>
    <w:rsid w:val="00C151F9"/>
    <w:rsid w:val="00C17DEA"/>
    <w:rsid w:val="00C341C6"/>
    <w:rsid w:val="00C46EBB"/>
    <w:rsid w:val="00D71064"/>
    <w:rsid w:val="00DA40E7"/>
    <w:rsid w:val="00DD533F"/>
    <w:rsid w:val="00E16256"/>
    <w:rsid w:val="00E37D72"/>
    <w:rsid w:val="00E74364"/>
    <w:rsid w:val="00E74782"/>
    <w:rsid w:val="00EC300D"/>
    <w:rsid w:val="00F219CE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расходов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Зима 08/09</c:v>
                </c:pt>
                <c:pt idx="1">
                  <c:v>Зима 09</c:v>
                </c:pt>
                <c:pt idx="2">
                  <c:v>Зима 10</c:v>
                </c:pt>
                <c:pt idx="3">
                  <c:v>Зима 11</c:v>
                </c:pt>
                <c:pt idx="4">
                  <c:v>Зима 12</c:v>
                </c:pt>
                <c:pt idx="5">
                  <c:v>Зима 13/14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118</c:v>
                </c:pt>
                <c:pt idx="2">
                  <c:v>139</c:v>
                </c:pt>
                <c:pt idx="3">
                  <c:v>157</c:v>
                </c:pt>
                <c:pt idx="4">
                  <c:v>179</c:v>
                </c:pt>
                <c:pt idx="5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зарплаты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Зима 08/09</c:v>
                </c:pt>
                <c:pt idx="1">
                  <c:v>Зима 09</c:v>
                </c:pt>
                <c:pt idx="2">
                  <c:v>Зима 10</c:v>
                </c:pt>
                <c:pt idx="3">
                  <c:v>Зима 11</c:v>
                </c:pt>
                <c:pt idx="4">
                  <c:v>Зима 12</c:v>
                </c:pt>
                <c:pt idx="5">
                  <c:v>Зима 13/14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111.5</c:v>
                </c:pt>
                <c:pt idx="2">
                  <c:v>125</c:v>
                </c:pt>
                <c:pt idx="3">
                  <c:v>145</c:v>
                </c:pt>
                <c:pt idx="4">
                  <c:v>160</c:v>
                </c:pt>
                <c:pt idx="5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747136"/>
        <c:axId val="54748672"/>
      </c:barChart>
      <c:catAx>
        <c:axId val="5474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54748672"/>
        <c:crosses val="autoZero"/>
        <c:auto val="1"/>
        <c:lblAlgn val="ctr"/>
        <c:lblOffset val="100"/>
        <c:noMultiLvlLbl val="0"/>
      </c:catAx>
      <c:valAx>
        <c:axId val="547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111</c:v>
                </c:pt>
                <c:pt idx="2">
                  <c:v>127</c:v>
                </c:pt>
                <c:pt idx="3">
                  <c:v>133</c:v>
                </c:pt>
                <c:pt idx="4">
                  <c:v>163</c:v>
                </c:pt>
                <c:pt idx="5">
                  <c:v>155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Миллионники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116</c:v>
                </c:pt>
                <c:pt idx="2">
                  <c:v>137</c:v>
                </c:pt>
                <c:pt idx="3">
                  <c:v>153</c:v>
                </c:pt>
                <c:pt idx="4">
                  <c:v>180</c:v>
                </c:pt>
                <c:pt idx="5">
                  <c:v>172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Пятисоттысячники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130</c:v>
                </c:pt>
                <c:pt idx="2">
                  <c:v>152</c:v>
                </c:pt>
                <c:pt idx="3">
                  <c:v>172</c:v>
                </c:pt>
                <c:pt idx="4">
                  <c:v>196</c:v>
                </c:pt>
                <c:pt idx="5">
                  <c:v>196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Петербург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124</c:v>
                </c:pt>
                <c:pt idx="2">
                  <c:v>178</c:v>
                </c:pt>
                <c:pt idx="3">
                  <c:v>190</c:v>
                </c:pt>
                <c:pt idx="4">
                  <c:v>190</c:v>
                </c:pt>
                <c:pt idx="5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70624"/>
        <c:axId val="61571840"/>
      </c:barChart>
      <c:catAx>
        <c:axId val="60570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900000"/>
          <a:lstStyle/>
          <a:p>
            <a:pPr>
              <a:defRPr/>
            </a:pPr>
            <a:endParaRPr lang="ru-RU"/>
          </a:p>
        </c:txPr>
        <c:crossAx val="61571840"/>
        <c:crosses val="autoZero"/>
        <c:auto val="1"/>
        <c:lblAlgn val="ctr"/>
        <c:lblOffset val="100"/>
        <c:noMultiLvlLbl val="0"/>
      </c:catAx>
      <c:valAx>
        <c:axId val="61571840"/>
        <c:scaling>
          <c:orientation val="minMax"/>
          <c:max val="25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70624"/>
        <c:crosses val="autoZero"/>
        <c:crossBetween val="between"/>
        <c:majorUnit val="4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-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124</c:v>
                </c:pt>
                <c:pt idx="2">
                  <c:v>135</c:v>
                </c:pt>
                <c:pt idx="3">
                  <c:v>161</c:v>
                </c:pt>
                <c:pt idx="4">
                  <c:v>169</c:v>
                </c:pt>
                <c:pt idx="5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118</c:v>
                </c:pt>
                <c:pt idx="2">
                  <c:v>135</c:v>
                </c:pt>
                <c:pt idx="3">
                  <c:v>154</c:v>
                </c:pt>
                <c:pt idx="4">
                  <c:v>170</c:v>
                </c:pt>
                <c:pt idx="5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+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Зима 2008/09</c:v>
                </c:pt>
                <c:pt idx="1">
                  <c:v>Зима 2009/10</c:v>
                </c:pt>
                <c:pt idx="2">
                  <c:v>Зима 2010/11</c:v>
                </c:pt>
                <c:pt idx="3">
                  <c:v>Зима 2011/12</c:v>
                </c:pt>
                <c:pt idx="4">
                  <c:v>Зима 2012/13</c:v>
                </c:pt>
                <c:pt idx="5">
                  <c:v>Зима 2013/14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111</c:v>
                </c:pt>
                <c:pt idx="2">
                  <c:v>135</c:v>
                </c:pt>
                <c:pt idx="3">
                  <c:v>150</c:v>
                </c:pt>
                <c:pt idx="4">
                  <c:v>161</c:v>
                </c:pt>
                <c:pt idx="5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08480"/>
        <c:axId val="45510016"/>
      </c:barChart>
      <c:catAx>
        <c:axId val="4550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900000"/>
          <a:lstStyle/>
          <a:p>
            <a:pPr>
              <a:defRPr/>
            </a:pPr>
            <a:endParaRPr lang="ru-RU"/>
          </a:p>
        </c:txPr>
        <c:crossAx val="45510016"/>
        <c:crosses val="autoZero"/>
        <c:auto val="1"/>
        <c:lblAlgn val="ctr"/>
        <c:lblOffset val="100"/>
        <c:noMultiLvlLbl val="0"/>
      </c:catAx>
      <c:valAx>
        <c:axId val="45510016"/>
        <c:scaling>
          <c:orientation val="minMax"/>
          <c:max val="19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0848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29</cp:revision>
  <dcterms:created xsi:type="dcterms:W3CDTF">2013-07-08T07:52:00Z</dcterms:created>
  <dcterms:modified xsi:type="dcterms:W3CDTF">2014-03-20T10:26:00Z</dcterms:modified>
</cp:coreProperties>
</file>