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19" w:rsidRPr="00F02801" w:rsidRDefault="00F02801" w:rsidP="008252A1">
      <w:pPr>
        <w:jc w:val="center"/>
        <w:rPr>
          <w:b/>
          <w:sz w:val="32"/>
          <w:szCs w:val="32"/>
        </w:rPr>
      </w:pPr>
      <w:r w:rsidRPr="00F02801">
        <w:rPr>
          <w:b/>
          <w:sz w:val="32"/>
          <w:szCs w:val="32"/>
        </w:rPr>
        <w:t>Не такой уж и плохой год</w:t>
      </w:r>
      <w:bookmarkStart w:id="0" w:name="_GoBack"/>
      <w:bookmarkEnd w:id="0"/>
    </w:p>
    <w:p w:rsidR="00DA7DD8" w:rsidRPr="00DA7DD8" w:rsidRDefault="00DA7DD8" w:rsidP="00DA7DD8">
      <w:pPr>
        <w:rPr>
          <w:b/>
        </w:rPr>
      </w:pPr>
    </w:p>
    <w:p w:rsidR="00CD6191" w:rsidRPr="00DA7DD8" w:rsidRDefault="00DA7DD8">
      <w:pPr>
        <w:rPr>
          <w:b/>
        </w:rPr>
      </w:pPr>
      <w:r>
        <w:rPr>
          <w:b/>
        </w:rPr>
        <w:t>Показатели потребительских рынков России в 2013-м году не столь плохи,</w:t>
      </w:r>
      <w:r w:rsidR="00C0032D">
        <w:rPr>
          <w:b/>
        </w:rPr>
        <w:t xml:space="preserve"> </w:t>
      </w:r>
      <w:r>
        <w:rPr>
          <w:b/>
        </w:rPr>
        <w:t>как это может показаться на первый взгляд.</w:t>
      </w:r>
      <w:r w:rsidR="00C0032D">
        <w:rPr>
          <w:b/>
        </w:rPr>
        <w:t xml:space="preserve"> Замедление темпов роста  - это не «кризис потребления», а скорее свидетельство «зрелости» многих рынков. Потребительский сектор остается вероятным «локомотивом» общего экономического роста на 2014-й и 2015-й годы. Особенно, в условиях затягивающейся сырьевой и инвестиционной «пауз». Но, рост этот будет носить не «фронтальный», а весьма избирательный </w:t>
      </w:r>
      <w:r w:rsidR="00931682">
        <w:rPr>
          <w:b/>
        </w:rPr>
        <w:t xml:space="preserve">и </w:t>
      </w:r>
      <w:r w:rsidR="00C0032D">
        <w:rPr>
          <w:b/>
        </w:rPr>
        <w:t xml:space="preserve">фрагментированный характер. И за него надо будет очень сильно побороться. </w:t>
      </w:r>
    </w:p>
    <w:p w:rsidR="00CD6191" w:rsidRDefault="00CD6191"/>
    <w:p w:rsidR="00CD6191" w:rsidRPr="00CD6191" w:rsidRDefault="00CD61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ИГОРЬ Березин - в</w:t>
      </w:r>
      <w:r w:rsidRPr="00CD6191">
        <w:rPr>
          <w:b/>
        </w:rPr>
        <w:t xml:space="preserve">едущий эксперт исследовательского холдинга </w:t>
      </w:r>
      <w:proofErr w:type="spellStart"/>
      <w:r w:rsidRPr="00CD6191">
        <w:rPr>
          <w:b/>
        </w:rPr>
        <w:t>Ромир</w:t>
      </w:r>
      <w:proofErr w:type="spellEnd"/>
      <w:r w:rsidRPr="00CD6191">
        <w:rPr>
          <w:b/>
        </w:rPr>
        <w:t xml:space="preserve">, </w:t>
      </w:r>
      <w:r>
        <w:rPr>
          <w:b/>
        </w:rPr>
        <w:t xml:space="preserve">                           </w:t>
      </w:r>
      <w:r w:rsidRPr="00CD6191">
        <w:rPr>
          <w:b/>
        </w:rPr>
        <w:t>президент Гильдии Маркетологов</w:t>
      </w:r>
    </w:p>
    <w:p w:rsidR="00CD6191" w:rsidRPr="00CD6191" w:rsidRDefault="00CD6191"/>
    <w:p w:rsidR="00F02801" w:rsidRDefault="00F02801">
      <w:pPr>
        <w:rPr>
          <w:sz w:val="24"/>
          <w:szCs w:val="24"/>
        </w:rPr>
      </w:pPr>
      <w:r>
        <w:rPr>
          <w:sz w:val="24"/>
          <w:szCs w:val="24"/>
        </w:rPr>
        <w:t>В 4-м квартале 2013-го года экономический негатив в новостном поле явно преобладал над позитивными новостями, и могло сложиться впечатление, что и весь год не задался. «Горячие головы» уже поспешили объявить о кризисе потребительского рынка, а то и всей модели «экономики потребления». А, между тем, это совершенно не соответствует действительности.</w:t>
      </w:r>
      <w:r w:rsidR="008A49D6">
        <w:rPr>
          <w:sz w:val="24"/>
          <w:szCs w:val="24"/>
        </w:rPr>
        <w:t xml:space="preserve"> Ситуация на российском потребительском рынке в 2013-м году в целом корректно может быть названа – «снижение темпов номинального (и реального) роста», но никак не «кризис потребления».</w:t>
      </w:r>
    </w:p>
    <w:p w:rsidR="00931682" w:rsidRDefault="008A49D6">
      <w:pPr>
        <w:rPr>
          <w:sz w:val="24"/>
          <w:szCs w:val="24"/>
        </w:rPr>
      </w:pPr>
      <w:r>
        <w:rPr>
          <w:sz w:val="24"/>
          <w:szCs w:val="24"/>
        </w:rPr>
        <w:t>Возьмем, к примеру, рынок автомобилей. Да, по предварительной оценке</w:t>
      </w:r>
      <w:r w:rsidR="00DA13E0">
        <w:rPr>
          <w:sz w:val="24"/>
          <w:szCs w:val="24"/>
        </w:rPr>
        <w:t xml:space="preserve"> комитета </w:t>
      </w:r>
      <w:proofErr w:type="gramStart"/>
      <w:r w:rsidR="00DA13E0">
        <w:rPr>
          <w:sz w:val="24"/>
          <w:szCs w:val="24"/>
        </w:rPr>
        <w:t>авто-производителей</w:t>
      </w:r>
      <w:proofErr w:type="gramEnd"/>
      <w:r w:rsidR="00DA13E0">
        <w:rPr>
          <w:sz w:val="24"/>
          <w:szCs w:val="24"/>
        </w:rPr>
        <w:t xml:space="preserve">  Ассоциации Европейского Бизнеса (АЕБ) объем рынка (в штуках) в 2013-м году сократился по сравнению с 2012-м годом примерно на 5,5% - до 2,76 млн. автомобилей. </w:t>
      </w:r>
      <w:proofErr w:type="gramStart"/>
      <w:r w:rsidR="00DA13E0">
        <w:rPr>
          <w:sz w:val="24"/>
          <w:szCs w:val="24"/>
        </w:rPr>
        <w:t xml:space="preserve">По натуральному объему российский автомобильный рынок </w:t>
      </w:r>
      <w:r w:rsidR="00823CC5">
        <w:rPr>
          <w:sz w:val="24"/>
          <w:szCs w:val="24"/>
        </w:rPr>
        <w:t xml:space="preserve">по прежнему </w:t>
      </w:r>
      <w:r w:rsidR="00DA13E0">
        <w:rPr>
          <w:sz w:val="24"/>
          <w:szCs w:val="24"/>
        </w:rPr>
        <w:t>занимает второе (после Германии) место в Европе и шестое место в мире.</w:t>
      </w:r>
      <w:proofErr w:type="gramEnd"/>
      <w:r w:rsidR="00DA13E0">
        <w:rPr>
          <w:sz w:val="24"/>
          <w:szCs w:val="24"/>
        </w:rPr>
        <w:t xml:space="preserve"> Кстати, еще в сентябре 2013-го прогноз АЕБ по итогам года давал снижение на 7 – 8% в годовом выражении. Пустячок, а приятно. Еще приятнее то, что в стоимостном выражении рынок не толь</w:t>
      </w:r>
      <w:r w:rsidR="00823CC5">
        <w:rPr>
          <w:sz w:val="24"/>
          <w:szCs w:val="24"/>
        </w:rPr>
        <w:t>ко не снизился, но и вырос: на 8</w:t>
      </w:r>
      <w:r w:rsidR="00DA13E0">
        <w:rPr>
          <w:sz w:val="24"/>
          <w:szCs w:val="24"/>
        </w:rPr>
        <w:t xml:space="preserve"> – 1</w:t>
      </w:r>
      <w:r w:rsidR="00823CC5">
        <w:rPr>
          <w:sz w:val="24"/>
          <w:szCs w:val="24"/>
        </w:rPr>
        <w:t>5</w:t>
      </w:r>
      <w:r w:rsidR="00DA13E0">
        <w:rPr>
          <w:sz w:val="24"/>
          <w:szCs w:val="24"/>
        </w:rPr>
        <w:t>% в рублях и на 5 – 8% в долларах США. Это произошло потому, что снижение объемов продаж коснулось в первую очередь «бюджетного» сегмента авторынка. В то время как в сегменте, например, компактных внедорожников (именуемых в народе «</w:t>
      </w:r>
      <w:proofErr w:type="spellStart"/>
      <w:r w:rsidR="00DA13E0">
        <w:rPr>
          <w:sz w:val="24"/>
          <w:szCs w:val="24"/>
        </w:rPr>
        <w:t>паркетниками</w:t>
      </w:r>
      <w:proofErr w:type="spellEnd"/>
      <w:r w:rsidR="00DA13E0">
        <w:rPr>
          <w:sz w:val="24"/>
          <w:szCs w:val="24"/>
        </w:rPr>
        <w:t xml:space="preserve">») наблюдался как раз довольно впечатляющий рост (порядка 20%). </w:t>
      </w:r>
      <w:r w:rsidR="00931682">
        <w:rPr>
          <w:sz w:val="24"/>
          <w:szCs w:val="24"/>
        </w:rPr>
        <w:t xml:space="preserve"> Это к</w:t>
      </w:r>
      <w:r w:rsidR="00DA13E0">
        <w:rPr>
          <w:sz w:val="24"/>
          <w:szCs w:val="24"/>
        </w:rPr>
        <w:t>ак</w:t>
      </w:r>
      <w:r w:rsidR="00A80B23">
        <w:rPr>
          <w:sz w:val="24"/>
          <w:szCs w:val="24"/>
        </w:rPr>
        <w:t>-</w:t>
      </w:r>
      <w:r w:rsidR="00DA13E0">
        <w:rPr>
          <w:sz w:val="24"/>
          <w:szCs w:val="24"/>
        </w:rPr>
        <w:t>то совсем не похоже на «кризис потребления».</w:t>
      </w:r>
      <w:r w:rsidR="00325556">
        <w:rPr>
          <w:sz w:val="24"/>
          <w:szCs w:val="24"/>
        </w:rPr>
        <w:t xml:space="preserve">    </w:t>
      </w:r>
    </w:p>
    <w:p w:rsidR="008A49D6" w:rsidRDefault="00325556">
      <w:pPr>
        <w:rPr>
          <w:sz w:val="24"/>
          <w:szCs w:val="24"/>
        </w:rPr>
      </w:pPr>
      <w:r>
        <w:rPr>
          <w:sz w:val="24"/>
          <w:szCs w:val="24"/>
        </w:rPr>
        <w:t>На 2014-й год АЕБ прогнозирует дальнейшее снижение продаж автомобилей в натуральном выражении на 3 – 4% за год. В свете хороших данных по декабрю (+4%) этот прогноз выглядит излишне пессимистичным. Но, даже если он оправдается, то с учетом продолжающего изменения структуры рынка (спроса) можно будет ждать дальнейшего роста рынка в стоимостном выражении. По крайней мере – в рублях.</w:t>
      </w:r>
    </w:p>
    <w:p w:rsidR="00823CC5" w:rsidRDefault="00823CC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предварительным данным </w:t>
      </w:r>
      <w:proofErr w:type="spellStart"/>
      <w:r>
        <w:rPr>
          <w:sz w:val="24"/>
          <w:szCs w:val="24"/>
        </w:rPr>
        <w:t>Роспогранслужбы</w:t>
      </w:r>
      <w:proofErr w:type="spellEnd"/>
      <w:r>
        <w:rPr>
          <w:sz w:val="24"/>
          <w:szCs w:val="24"/>
        </w:rPr>
        <w:t>, ФМС и Ростуризма число российских туристов, отдохнувших в странах дальнего зарубежья, в 2013-м году выросло на 24%. А их совокупные расходы на заграничные поездки возросли на 18%. «Стоимость» одной усредненной поездки при этом снизилась на 5%. Совсем не похоже на «кризис потребления». И было бы очень похоже на бум, если бы не относительно невысокие объемные показатели. В 2013-м году туристические поездки совершали не более 10% россиян (некоторые из них, правда</w:t>
      </w:r>
      <w:r w:rsidR="00DA7DD8">
        <w:rPr>
          <w:sz w:val="24"/>
          <w:szCs w:val="24"/>
        </w:rPr>
        <w:t>,</w:t>
      </w:r>
      <w:r>
        <w:rPr>
          <w:sz w:val="24"/>
          <w:szCs w:val="24"/>
        </w:rPr>
        <w:t xml:space="preserve"> совершили по две-три-четыре поездки за год), против показателей в  </w:t>
      </w:r>
      <w:r w:rsidR="00DA7DD8">
        <w:rPr>
          <w:sz w:val="24"/>
          <w:szCs w:val="24"/>
        </w:rPr>
        <w:t>25</w:t>
      </w:r>
      <w:r>
        <w:rPr>
          <w:sz w:val="24"/>
          <w:szCs w:val="24"/>
        </w:rPr>
        <w:t xml:space="preserve"> – 50% по странам Западной Европы.</w:t>
      </w:r>
      <w:r w:rsidR="00325556">
        <w:rPr>
          <w:sz w:val="24"/>
          <w:szCs w:val="24"/>
        </w:rPr>
        <w:t xml:space="preserve"> В условиях усилившейся волатильности на валютном рынке трудно делать прогноз туристического рынка на 2014-й год. В 2009-м году 35-процентная коррекция курса рубля к доллару (плюс – падение производства и рост безработицы) привела к сокращению </w:t>
      </w:r>
      <w:r w:rsidR="00931682">
        <w:rPr>
          <w:sz w:val="24"/>
          <w:szCs w:val="24"/>
        </w:rPr>
        <w:t xml:space="preserve">числа </w:t>
      </w:r>
      <w:r w:rsidR="00325556">
        <w:rPr>
          <w:sz w:val="24"/>
          <w:szCs w:val="24"/>
        </w:rPr>
        <w:t>зарубежных туристических поездок на 17%. Если коррекция курса рубля в 2014-м году не превысит 15 – 20% есть надежда, что сокращение зарубежного туризма также не превысит 5 – 10% в количестве поездок. Просто часть туристов переориентируется на более «экономичные» варианты проведения отдыха (Турция, Египет, Болгария</w:t>
      </w:r>
      <w:r w:rsidR="00006207">
        <w:rPr>
          <w:sz w:val="24"/>
          <w:szCs w:val="24"/>
        </w:rPr>
        <w:t xml:space="preserve"> и т.п.).</w:t>
      </w:r>
      <w:r w:rsidR="00931682">
        <w:rPr>
          <w:sz w:val="24"/>
          <w:szCs w:val="24"/>
        </w:rPr>
        <w:t xml:space="preserve"> И / или – более короткие туры: неделя – 11/12 дней вместо двух недель, 3-4 дня вместо недели.</w:t>
      </w:r>
    </w:p>
    <w:p w:rsidR="00006207" w:rsidRDefault="00006207">
      <w:pPr>
        <w:rPr>
          <w:sz w:val="24"/>
          <w:szCs w:val="24"/>
        </w:rPr>
      </w:pPr>
    </w:p>
    <w:p w:rsidR="00A17F12" w:rsidRDefault="00DA7DD8">
      <w:pPr>
        <w:rPr>
          <w:sz w:val="24"/>
          <w:szCs w:val="24"/>
        </w:rPr>
      </w:pPr>
      <w:r>
        <w:rPr>
          <w:sz w:val="24"/>
          <w:szCs w:val="24"/>
        </w:rPr>
        <w:t>По данным кинопрокатчиков общие сборы от кинопоказа в России в 2013-м году составили рекордные 43 млрд. руб. (около одного млрд. евро). Годовой рост показателя составил 10%. При среднем увеличении цены билета на 5%. Не похоже н</w:t>
      </w:r>
      <w:r w:rsidR="00931682">
        <w:rPr>
          <w:sz w:val="24"/>
          <w:szCs w:val="24"/>
        </w:rPr>
        <w:t>и</w:t>
      </w:r>
      <w:r>
        <w:rPr>
          <w:sz w:val="24"/>
          <w:szCs w:val="24"/>
        </w:rPr>
        <w:t xml:space="preserve"> на бум, ни на кризис. В 2012-м году рост сборов от кинопоказа составлял 11,5%; в 2011-м – 13%.</w:t>
      </w:r>
      <w:r w:rsidR="00006207">
        <w:rPr>
          <w:sz w:val="24"/>
          <w:szCs w:val="24"/>
        </w:rPr>
        <w:t xml:space="preserve">                     Не ожидается провала </w:t>
      </w:r>
      <w:r w:rsidR="00931682">
        <w:rPr>
          <w:sz w:val="24"/>
          <w:szCs w:val="24"/>
        </w:rPr>
        <w:t xml:space="preserve">и </w:t>
      </w:r>
      <w:r w:rsidR="00006207">
        <w:rPr>
          <w:sz w:val="24"/>
          <w:szCs w:val="24"/>
        </w:rPr>
        <w:t>в 2014-м году. По крайней мере</w:t>
      </w:r>
      <w:r w:rsidR="00240EBF">
        <w:rPr>
          <w:sz w:val="24"/>
          <w:szCs w:val="24"/>
        </w:rPr>
        <w:t xml:space="preserve"> </w:t>
      </w:r>
      <w:r w:rsidR="00931682">
        <w:rPr>
          <w:sz w:val="24"/>
          <w:szCs w:val="24"/>
        </w:rPr>
        <w:t>– год начался неплохо. П</w:t>
      </w:r>
      <w:r w:rsidR="00240EBF">
        <w:rPr>
          <w:sz w:val="24"/>
          <w:szCs w:val="24"/>
        </w:rPr>
        <w:t>редварительные</w:t>
      </w:r>
      <w:r w:rsidR="00006207">
        <w:rPr>
          <w:sz w:val="24"/>
          <w:szCs w:val="24"/>
        </w:rPr>
        <w:t xml:space="preserve"> данные за  январ</w:t>
      </w:r>
      <w:r w:rsidR="00240EBF">
        <w:rPr>
          <w:sz w:val="24"/>
          <w:szCs w:val="24"/>
        </w:rPr>
        <w:t>ь</w:t>
      </w:r>
      <w:r w:rsidR="00006207">
        <w:rPr>
          <w:sz w:val="24"/>
          <w:szCs w:val="24"/>
        </w:rPr>
        <w:t xml:space="preserve"> весьма оптимистичны. Сборы от кинопоказа</w:t>
      </w:r>
      <w:r w:rsidR="00240EBF">
        <w:rPr>
          <w:sz w:val="24"/>
          <w:szCs w:val="24"/>
        </w:rPr>
        <w:t xml:space="preserve"> выросли на 6,5% (в долларах) по сравнению с январем 2013-го. А количество проданных билетов в</w:t>
      </w:r>
      <w:r w:rsidR="00A17F12">
        <w:rPr>
          <w:sz w:val="24"/>
          <w:szCs w:val="24"/>
        </w:rPr>
        <w:t>ы</w:t>
      </w:r>
      <w:r w:rsidR="00240EBF">
        <w:rPr>
          <w:sz w:val="24"/>
          <w:szCs w:val="24"/>
        </w:rPr>
        <w:t>росло на 11%.</w:t>
      </w:r>
      <w:r w:rsidR="00A17F12">
        <w:rPr>
          <w:sz w:val="24"/>
          <w:szCs w:val="24"/>
        </w:rPr>
        <w:t xml:space="preserve"> Конечно, такой результат во многом объясняется удачным стечением обстоятельств – сразу пять фильмов </w:t>
      </w:r>
      <w:proofErr w:type="gramStart"/>
      <w:r w:rsidR="00A17F12">
        <w:rPr>
          <w:sz w:val="24"/>
          <w:szCs w:val="24"/>
        </w:rPr>
        <w:t>(</w:t>
      </w:r>
      <w:r w:rsidR="00931682">
        <w:rPr>
          <w:sz w:val="24"/>
          <w:szCs w:val="24"/>
        </w:rPr>
        <w:t xml:space="preserve"> </w:t>
      </w:r>
      <w:proofErr w:type="gramEnd"/>
      <w:r w:rsidR="00931682">
        <w:rPr>
          <w:sz w:val="24"/>
          <w:szCs w:val="24"/>
        </w:rPr>
        <w:t xml:space="preserve">в </w:t>
      </w:r>
      <w:proofErr w:type="spellStart"/>
      <w:r w:rsidR="00931682">
        <w:rPr>
          <w:sz w:val="24"/>
          <w:szCs w:val="24"/>
        </w:rPr>
        <w:t>т.ч</w:t>
      </w:r>
      <w:proofErr w:type="spellEnd"/>
      <w:r w:rsidR="00931682">
        <w:rPr>
          <w:sz w:val="24"/>
          <w:szCs w:val="24"/>
        </w:rPr>
        <w:t xml:space="preserve">. </w:t>
      </w:r>
      <w:r w:rsidR="00A17F12">
        <w:rPr>
          <w:sz w:val="24"/>
          <w:szCs w:val="24"/>
        </w:rPr>
        <w:t xml:space="preserve">три российских: </w:t>
      </w:r>
      <w:proofErr w:type="gramStart"/>
      <w:r w:rsidR="00A17F12">
        <w:rPr>
          <w:sz w:val="24"/>
          <w:szCs w:val="24"/>
        </w:rPr>
        <w:t>«Елки-3», «Иван царевич-2» и Любовь в большом городе-3») в январе 2014-го стали блокбастерами национального проката.</w:t>
      </w:r>
      <w:proofErr w:type="gramEnd"/>
      <w:r w:rsidR="00A17F12">
        <w:rPr>
          <w:sz w:val="24"/>
          <w:szCs w:val="24"/>
        </w:rPr>
        <w:t xml:space="preserve"> Но, и в прошлые годы прокатчики в период новогодних каникул старались запустить не абы что, а например предыдущие серии успешных франшиз.</w:t>
      </w:r>
    </w:p>
    <w:p w:rsidR="00DA7DD8" w:rsidRDefault="00DA7DD8">
      <w:pPr>
        <w:rPr>
          <w:sz w:val="24"/>
          <w:szCs w:val="24"/>
        </w:rPr>
      </w:pPr>
      <w:r>
        <w:rPr>
          <w:sz w:val="24"/>
          <w:szCs w:val="24"/>
        </w:rPr>
        <w:t>Да, очень сильно (на 25 – 30%) в 2013-м году снизились продажи ноутбуков. Но, при этом очень сильно (на 50 – 80%) возросли продажи смартфонов. И хотя общее количество проданных за год мобильных телефонов составило те же 42 млн. шт. что и в 2012-м году (даже – 41,6 млн. шт. по оценке «Евросети») в стоимостном выражении рынок мобильных телефонов вырос на 11% в рублях и на 6 – 7% в долларах.</w:t>
      </w:r>
      <w:r w:rsidR="00240EBF">
        <w:rPr>
          <w:sz w:val="24"/>
          <w:szCs w:val="24"/>
        </w:rPr>
        <w:t xml:space="preserve"> </w:t>
      </w:r>
      <w:r w:rsidR="00A17F12">
        <w:rPr>
          <w:sz w:val="24"/>
          <w:szCs w:val="24"/>
        </w:rPr>
        <w:t xml:space="preserve">Доля смартфонов (в общем числе проданных телефонов) при этом выросла с 30 до 50% в натуральном и с 50 до 75% в стоимостном выражении. Дальнейшее изменение структуры рынка, возможно, позволит не только удержать продажи от падения в количественном выражении, но и увеличить </w:t>
      </w:r>
      <w:proofErr w:type="gramStart"/>
      <w:r w:rsidR="00A17F12">
        <w:rPr>
          <w:sz w:val="24"/>
          <w:szCs w:val="24"/>
        </w:rPr>
        <w:t>стоимостной</w:t>
      </w:r>
      <w:proofErr w:type="gramEnd"/>
      <w:r w:rsidR="00A17F12">
        <w:rPr>
          <w:sz w:val="24"/>
          <w:szCs w:val="24"/>
        </w:rPr>
        <w:t xml:space="preserve"> объем рынка. По крайней мере – в рублях.</w:t>
      </w:r>
    </w:p>
    <w:p w:rsidR="00931682" w:rsidRDefault="00931682">
      <w:pPr>
        <w:rPr>
          <w:sz w:val="24"/>
          <w:szCs w:val="24"/>
        </w:rPr>
      </w:pPr>
    </w:p>
    <w:p w:rsidR="00F02801" w:rsidRDefault="00A30A3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Изменение структуры спроса (рынка), поведения и предпочтений потребителей, расстановки сил в сегментах, усиление конкуренции – это, похоже, общий лейтмотив развития потребительских рынков в 2014-м году. И свидетельство их (потребительских рынков) зрелости. А зрелые рынки, как правило</w:t>
      </w:r>
      <w:r w:rsidR="00931682">
        <w:rPr>
          <w:sz w:val="24"/>
          <w:szCs w:val="24"/>
        </w:rPr>
        <w:t>,</w:t>
      </w:r>
      <w:r>
        <w:rPr>
          <w:sz w:val="24"/>
          <w:szCs w:val="24"/>
        </w:rPr>
        <w:t xml:space="preserve"> не растут на 20 – 30 % в год.</w:t>
      </w:r>
    </w:p>
    <w:p w:rsidR="00A30A38" w:rsidRDefault="00A30A38">
      <w:pPr>
        <w:rPr>
          <w:sz w:val="24"/>
          <w:szCs w:val="24"/>
        </w:rPr>
      </w:pPr>
      <w:r>
        <w:rPr>
          <w:sz w:val="24"/>
          <w:szCs w:val="24"/>
        </w:rPr>
        <w:t>Вот и рынки продуктов питания и товаров повседневного спроса, после десятилетия впечатляющего роста (и в номинальном и в реальном выражении), похоже</w:t>
      </w:r>
      <w:r w:rsidR="00075A32">
        <w:rPr>
          <w:sz w:val="24"/>
          <w:szCs w:val="24"/>
        </w:rPr>
        <w:t>,</w:t>
      </w:r>
      <w:r>
        <w:rPr>
          <w:sz w:val="24"/>
          <w:szCs w:val="24"/>
        </w:rPr>
        <w:t xml:space="preserve"> подходят к состоянию «зрелости».</w:t>
      </w:r>
    </w:p>
    <w:p w:rsidR="00C463CB" w:rsidRPr="00A80B23" w:rsidRDefault="00075A3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По данным исследовательского холдинга </w:t>
      </w:r>
      <w:proofErr w:type="spellStart"/>
      <w:r>
        <w:rPr>
          <w:sz w:val="24"/>
          <w:szCs w:val="24"/>
        </w:rPr>
        <w:t>Ромир</w:t>
      </w:r>
      <w:proofErr w:type="spellEnd"/>
      <w:r>
        <w:rPr>
          <w:sz w:val="24"/>
          <w:szCs w:val="24"/>
        </w:rPr>
        <w:t xml:space="preserve">, полученным на основе мониторинга (сканирование в домашних условиях – </w:t>
      </w:r>
      <w:r w:rsidRPr="00A80B23">
        <w:rPr>
          <w:b/>
          <w:sz w:val="24"/>
          <w:szCs w:val="24"/>
        </w:rPr>
        <w:t>см. Справку</w:t>
      </w:r>
      <w:r>
        <w:rPr>
          <w:sz w:val="24"/>
          <w:szCs w:val="24"/>
        </w:rPr>
        <w:t xml:space="preserve">) повседневных покупок жителей российских городов, расходы на продукты питания и непродовольственные товары повседневного спроса в 2013-м году выросли в номинальном выражении на 9,5%. </w:t>
      </w:r>
      <w:r w:rsidRPr="00A80B23">
        <w:rPr>
          <w:b/>
          <w:sz w:val="24"/>
          <w:szCs w:val="24"/>
        </w:rPr>
        <w:t xml:space="preserve">См. Диаграмму 1. </w:t>
      </w:r>
    </w:p>
    <w:p w:rsidR="00F02801" w:rsidRDefault="00075A3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Впервые за весь период проведения мониторинга (с 2007-го года), </w:t>
      </w:r>
      <w:r w:rsidR="00C463CB">
        <w:rPr>
          <w:sz w:val="24"/>
          <w:szCs w:val="24"/>
        </w:rPr>
        <w:t xml:space="preserve">да и за весь постсоветский период с 1990-го года, номинальные темпы роста повседневного потребления оказались не двухзначными, </w:t>
      </w:r>
      <w:r w:rsidR="00931682">
        <w:rPr>
          <w:sz w:val="24"/>
          <w:szCs w:val="24"/>
        </w:rPr>
        <w:t>а</w:t>
      </w:r>
      <w:r w:rsidR="00C463CB">
        <w:rPr>
          <w:sz w:val="24"/>
          <w:szCs w:val="24"/>
        </w:rPr>
        <w:t xml:space="preserve"> ниже 10%. С учетом инфляции, которая в 2013-м году составила по данным Росстата 6,5%, можно говорить о росте реальных расходов на повседневное потребление в размере 2,8%. </w:t>
      </w:r>
      <w:r w:rsidR="00A80B23">
        <w:rPr>
          <w:sz w:val="24"/>
          <w:szCs w:val="24"/>
        </w:rPr>
        <w:t>Эти показатели: 9,5% номинального роста и 2,8</w:t>
      </w:r>
      <w:proofErr w:type="gramEnd"/>
      <w:r w:rsidR="00A80B23">
        <w:rPr>
          <w:sz w:val="24"/>
          <w:szCs w:val="24"/>
        </w:rPr>
        <w:t xml:space="preserve">% - реального в точности совпадают с данными Росстата по изменению оборота розничной торговли. </w:t>
      </w:r>
      <w:r w:rsidR="00C463CB">
        <w:rPr>
          <w:sz w:val="24"/>
          <w:szCs w:val="24"/>
        </w:rPr>
        <w:t xml:space="preserve">Здесь особенно хочется подчеркнуть, что мы говорим о росте потребления. И в реальном, и в номинальном выражении. Да, его темпы существенно снизились по сравнению с 2009 – 2012 гг. Но, это все же рост потребления, а не его сокращение. </w:t>
      </w:r>
    </w:p>
    <w:p w:rsidR="00931682" w:rsidRDefault="00931682">
      <w:pPr>
        <w:rPr>
          <w:b/>
          <w:sz w:val="24"/>
          <w:szCs w:val="24"/>
        </w:rPr>
      </w:pPr>
    </w:p>
    <w:p w:rsidR="00CD6191" w:rsidRPr="000C0EA3" w:rsidRDefault="00CD6191">
      <w:pPr>
        <w:rPr>
          <w:b/>
          <w:sz w:val="24"/>
          <w:szCs w:val="24"/>
        </w:rPr>
      </w:pPr>
      <w:r w:rsidRPr="000C0EA3">
        <w:rPr>
          <w:b/>
          <w:sz w:val="24"/>
          <w:szCs w:val="24"/>
        </w:rPr>
        <w:t xml:space="preserve">Диаграмма 1. Номинальные и реальные темпы роста повседневного потребления в </w:t>
      </w:r>
      <w:r w:rsidR="000C0EA3">
        <w:rPr>
          <w:b/>
          <w:sz w:val="24"/>
          <w:szCs w:val="24"/>
        </w:rPr>
        <w:t xml:space="preserve">России в </w:t>
      </w:r>
      <w:r w:rsidRPr="000C0EA3">
        <w:rPr>
          <w:b/>
          <w:sz w:val="24"/>
          <w:szCs w:val="24"/>
        </w:rPr>
        <w:t xml:space="preserve">2009 – 2013 гг. </w:t>
      </w:r>
      <w:proofErr w:type="gramStart"/>
      <w:r w:rsidRPr="000C0EA3">
        <w:rPr>
          <w:b/>
          <w:sz w:val="24"/>
          <w:szCs w:val="24"/>
        </w:rPr>
        <w:t>В</w:t>
      </w:r>
      <w:proofErr w:type="gramEnd"/>
      <w:r w:rsidRPr="000C0EA3">
        <w:rPr>
          <w:b/>
          <w:sz w:val="24"/>
          <w:szCs w:val="24"/>
        </w:rPr>
        <w:t xml:space="preserve"> %</w:t>
      </w:r>
    </w:p>
    <w:p w:rsidR="00CD6191" w:rsidRDefault="000C0EA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86400" cy="25146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D6191" w:rsidRPr="000C0EA3" w:rsidRDefault="00CD6191">
      <w:pPr>
        <w:rPr>
          <w:b/>
          <w:sz w:val="24"/>
          <w:szCs w:val="24"/>
        </w:rPr>
      </w:pPr>
      <w:r w:rsidRPr="000C0EA3">
        <w:rPr>
          <w:b/>
          <w:sz w:val="24"/>
          <w:szCs w:val="24"/>
        </w:rPr>
        <w:t xml:space="preserve">Источник - </w:t>
      </w:r>
      <w:proofErr w:type="spellStart"/>
      <w:r w:rsidRPr="000C0EA3">
        <w:rPr>
          <w:b/>
          <w:sz w:val="24"/>
          <w:szCs w:val="24"/>
        </w:rPr>
        <w:t>Ромир</w:t>
      </w:r>
      <w:proofErr w:type="spellEnd"/>
    </w:p>
    <w:p w:rsidR="006323BC" w:rsidRDefault="006323BC" w:rsidP="006323B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Серьезные аналитики понима</w:t>
      </w:r>
      <w:r w:rsidR="00A80B23">
        <w:rPr>
          <w:sz w:val="24"/>
          <w:szCs w:val="24"/>
        </w:rPr>
        <w:t>ют</w:t>
      </w:r>
      <w:r>
        <w:rPr>
          <w:sz w:val="24"/>
          <w:szCs w:val="24"/>
        </w:rPr>
        <w:t>, что ситуация когда рынки продуктов питания и непродовольственных товаров повседневного спроса растут на 15 – 20% в номинальном и 7,5 – 9% в реальном выражении не может продолжаться бесконечно. В противном случае доля расходов, связанных с этими рынками должна была бы существенно возрасти, и это оказало бы угнетающее воздействие на другие рынки. Например – товаров длительного пользования. А это случается как раз в периоды экономических потрясений. Как</w:t>
      </w:r>
      <w:r w:rsidR="00A80B23">
        <w:rPr>
          <w:sz w:val="24"/>
          <w:szCs w:val="24"/>
        </w:rPr>
        <w:t>,</w:t>
      </w:r>
      <w:r>
        <w:rPr>
          <w:sz w:val="24"/>
          <w:szCs w:val="24"/>
        </w:rPr>
        <w:t xml:space="preserve"> например</w:t>
      </w:r>
      <w:r w:rsidR="00A80B23">
        <w:rPr>
          <w:sz w:val="24"/>
          <w:szCs w:val="24"/>
        </w:rPr>
        <w:t>,</w:t>
      </w:r>
      <w:r>
        <w:rPr>
          <w:sz w:val="24"/>
          <w:szCs w:val="24"/>
        </w:rPr>
        <w:t xml:space="preserve"> это было в 2009-м году, когда повседневное домашнее потребление существенно возросло, а рынки товаров длительного пользования (автомобилей, мебели, одежды, бытовой техники и т.д.) сократились на 20 – 40%.</w:t>
      </w:r>
    </w:p>
    <w:p w:rsidR="00931682" w:rsidRDefault="00931682" w:rsidP="00931682">
      <w:pPr>
        <w:rPr>
          <w:sz w:val="24"/>
          <w:szCs w:val="24"/>
        </w:rPr>
      </w:pPr>
      <w:r>
        <w:rPr>
          <w:sz w:val="24"/>
          <w:szCs w:val="24"/>
        </w:rPr>
        <w:t>А с учетом того, что совокупная емкость рынков продуктов питания и непродовольственных товаров повседневного спроса (фармацевтических, хозяйственных, галантерейных, парфюмерных и т.д.) составляет порядка 15 триллионов рублей в год, номинальный рост на 9,5% означает прирост стоимостного объема на 1,5 трлн. руб. за год.</w:t>
      </w:r>
      <w:r w:rsidR="006323BC">
        <w:rPr>
          <w:sz w:val="24"/>
          <w:szCs w:val="24"/>
        </w:rPr>
        <w:t xml:space="preserve"> Это более 2% российского ВВП в масштабе цен 2013-го (да и 2014-го) года.</w:t>
      </w:r>
      <w:r w:rsidR="00A80B23">
        <w:rPr>
          <w:sz w:val="24"/>
          <w:szCs w:val="24"/>
        </w:rPr>
        <w:t xml:space="preserve"> Т.е.</w:t>
      </w:r>
      <w:r w:rsidR="005158F9">
        <w:rPr>
          <w:sz w:val="24"/>
          <w:szCs w:val="24"/>
        </w:rPr>
        <w:t xml:space="preserve"> только рынки повседневных товаров способны обеспечить номинальный рост ВВП на 2% за год. Такой же вклад, если не более могут сделать рынки товаров длительного пользования. Не менее 1% номинального прироста ВВП в 2014-м году может обеспечить сектор потребительских услуг. Итого на долю потребительского сектора в 2014-м году может прийтись не менее 5% номинального роста ВВП; </w:t>
      </w:r>
      <w:proofErr w:type="gramStart"/>
      <w:r w:rsidR="005158F9">
        <w:rPr>
          <w:sz w:val="24"/>
          <w:szCs w:val="24"/>
        </w:rPr>
        <w:t>из</w:t>
      </w:r>
      <w:proofErr w:type="gramEnd"/>
      <w:r w:rsidR="005158F9">
        <w:rPr>
          <w:sz w:val="24"/>
          <w:szCs w:val="24"/>
        </w:rPr>
        <w:t xml:space="preserve"> примерно 8% ожидающихся по экономике в целом. При инфляции в 5 – 5,5% это может дать около 2,5% реального роста экономики России (ВВП) в 2014-году. Довольно скромный показатель на фоне </w:t>
      </w:r>
      <w:proofErr w:type="gramStart"/>
      <w:r w:rsidR="005158F9">
        <w:rPr>
          <w:sz w:val="24"/>
          <w:szCs w:val="24"/>
        </w:rPr>
        <w:t>былых</w:t>
      </w:r>
      <w:proofErr w:type="gramEnd"/>
      <w:r w:rsidR="005158F9">
        <w:rPr>
          <w:sz w:val="24"/>
          <w:szCs w:val="24"/>
        </w:rPr>
        <w:t xml:space="preserve"> (в 2010 – 2012 гг.) 3,5%. Но уж куда лучше прошлогодних 1,3%.</w:t>
      </w:r>
    </w:p>
    <w:p w:rsidR="00931682" w:rsidRDefault="00931682">
      <w:pPr>
        <w:rPr>
          <w:sz w:val="24"/>
          <w:szCs w:val="24"/>
        </w:rPr>
      </w:pPr>
    </w:p>
    <w:p w:rsidR="005158F9" w:rsidRPr="005158F9" w:rsidRDefault="005158F9">
      <w:pPr>
        <w:rPr>
          <w:sz w:val="28"/>
          <w:szCs w:val="28"/>
        </w:rPr>
      </w:pPr>
      <w:r w:rsidRPr="005158F9">
        <w:rPr>
          <w:sz w:val="28"/>
          <w:szCs w:val="28"/>
        </w:rPr>
        <w:t>Неравномерный характер роста повседневного потребления</w:t>
      </w:r>
    </w:p>
    <w:p w:rsidR="009929BF" w:rsidRDefault="009929BF">
      <w:pPr>
        <w:rPr>
          <w:sz w:val="24"/>
          <w:szCs w:val="24"/>
        </w:rPr>
      </w:pPr>
    </w:p>
    <w:p w:rsidR="00492350" w:rsidRDefault="009929BF">
      <w:pPr>
        <w:rPr>
          <w:sz w:val="24"/>
          <w:szCs w:val="24"/>
        </w:rPr>
      </w:pPr>
      <w:r>
        <w:rPr>
          <w:sz w:val="24"/>
          <w:szCs w:val="24"/>
        </w:rPr>
        <w:t>В отличи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от ситуации 2001 – 2008 гг., когда экономический рост и рост потребления</w:t>
      </w:r>
      <w:r w:rsidR="00492350">
        <w:rPr>
          <w:sz w:val="24"/>
          <w:szCs w:val="24"/>
        </w:rPr>
        <w:t xml:space="preserve"> носили «фронтальный» характер: росло всё и росли все, и примерно одинаковыми темпами - по 25 – 30% в год в номинальном выражении; рост потребления в посткризисную пятилетку 2009 – 2013 гг. стал носить сильно дифференцированный характер.  И по городам (типам городов), и по отдельным социальным (доходным) группам потребителей.</w:t>
      </w:r>
    </w:p>
    <w:p w:rsidR="005158F9" w:rsidRDefault="00637FA5">
      <w:pPr>
        <w:rPr>
          <w:sz w:val="24"/>
          <w:szCs w:val="24"/>
        </w:rPr>
      </w:pPr>
      <w:r>
        <w:rPr>
          <w:sz w:val="24"/>
          <w:szCs w:val="24"/>
        </w:rPr>
        <w:t>Так, в 2009-м году</w:t>
      </w:r>
      <w:r w:rsidR="0049235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номинальный рост повседневного потребления в городах с населением от 500 тысяч до миллиона жителей в 1,5 раза превысил показатели роста по Москве и городам с населением в 1 – 1,5 млн. чел. 30 и 19 – 20%, соответственно. </w:t>
      </w:r>
      <w:r w:rsidRPr="00637FA5">
        <w:rPr>
          <w:b/>
          <w:sz w:val="24"/>
          <w:szCs w:val="24"/>
        </w:rPr>
        <w:t>См. Диаграмму 2.</w:t>
      </w:r>
    </w:p>
    <w:p w:rsidR="005158F9" w:rsidRDefault="005158F9">
      <w:pPr>
        <w:rPr>
          <w:sz w:val="24"/>
          <w:szCs w:val="24"/>
        </w:rPr>
      </w:pPr>
    </w:p>
    <w:p w:rsidR="005158F9" w:rsidRDefault="005158F9">
      <w:pPr>
        <w:rPr>
          <w:sz w:val="24"/>
          <w:szCs w:val="24"/>
        </w:rPr>
      </w:pPr>
    </w:p>
    <w:p w:rsidR="00E607BD" w:rsidRPr="000C0EA3" w:rsidRDefault="00E607BD" w:rsidP="00E607B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Диаграмма 2</w:t>
      </w:r>
      <w:r w:rsidRPr="000C0EA3">
        <w:rPr>
          <w:b/>
          <w:sz w:val="24"/>
          <w:szCs w:val="24"/>
        </w:rPr>
        <w:t>. Номинальные</w:t>
      </w:r>
      <w:r>
        <w:rPr>
          <w:b/>
          <w:sz w:val="24"/>
          <w:szCs w:val="24"/>
        </w:rPr>
        <w:t xml:space="preserve"> </w:t>
      </w:r>
      <w:r w:rsidRPr="000C0EA3">
        <w:rPr>
          <w:b/>
          <w:sz w:val="24"/>
          <w:szCs w:val="24"/>
        </w:rPr>
        <w:t xml:space="preserve">темпы роста повседневного потребления в </w:t>
      </w:r>
      <w:r>
        <w:rPr>
          <w:b/>
          <w:sz w:val="24"/>
          <w:szCs w:val="24"/>
        </w:rPr>
        <w:t xml:space="preserve">различных городах России в </w:t>
      </w:r>
      <w:r w:rsidRPr="000C0EA3">
        <w:rPr>
          <w:b/>
          <w:sz w:val="24"/>
          <w:szCs w:val="24"/>
        </w:rPr>
        <w:t xml:space="preserve">2009 – 2013 гг. </w:t>
      </w:r>
      <w:proofErr w:type="gramStart"/>
      <w:r w:rsidRPr="000C0EA3">
        <w:rPr>
          <w:b/>
          <w:sz w:val="24"/>
          <w:szCs w:val="24"/>
        </w:rPr>
        <w:t>В</w:t>
      </w:r>
      <w:proofErr w:type="gramEnd"/>
      <w:r w:rsidRPr="000C0EA3">
        <w:rPr>
          <w:b/>
          <w:sz w:val="24"/>
          <w:szCs w:val="24"/>
        </w:rPr>
        <w:t xml:space="preserve"> %</w:t>
      </w:r>
    </w:p>
    <w:p w:rsidR="00E607BD" w:rsidRDefault="00E607BD" w:rsidP="00E607B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4F32532" wp14:editId="1EE6A796">
            <wp:extent cx="5486400" cy="25146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607BD" w:rsidRPr="000C0EA3" w:rsidRDefault="00E607BD" w:rsidP="00E607BD">
      <w:pPr>
        <w:rPr>
          <w:b/>
          <w:sz w:val="24"/>
          <w:szCs w:val="24"/>
        </w:rPr>
      </w:pPr>
      <w:r w:rsidRPr="000C0EA3">
        <w:rPr>
          <w:b/>
          <w:sz w:val="24"/>
          <w:szCs w:val="24"/>
        </w:rPr>
        <w:t xml:space="preserve">Источник - </w:t>
      </w:r>
      <w:proofErr w:type="spellStart"/>
      <w:r w:rsidRPr="000C0EA3">
        <w:rPr>
          <w:b/>
          <w:sz w:val="24"/>
          <w:szCs w:val="24"/>
        </w:rPr>
        <w:t>Ромир</w:t>
      </w:r>
      <w:proofErr w:type="spellEnd"/>
    </w:p>
    <w:p w:rsidR="00E607BD" w:rsidRDefault="00E607BD">
      <w:pPr>
        <w:rPr>
          <w:sz w:val="24"/>
          <w:szCs w:val="24"/>
        </w:rPr>
      </w:pPr>
    </w:p>
    <w:p w:rsidR="00E607BD" w:rsidRDefault="00637FA5">
      <w:pPr>
        <w:rPr>
          <w:sz w:val="24"/>
          <w:szCs w:val="24"/>
        </w:rPr>
      </w:pPr>
      <w:r>
        <w:rPr>
          <w:sz w:val="24"/>
          <w:szCs w:val="24"/>
        </w:rPr>
        <w:t>В 2010-м году города – «</w:t>
      </w:r>
      <w:proofErr w:type="spellStart"/>
      <w:r>
        <w:rPr>
          <w:sz w:val="24"/>
          <w:szCs w:val="24"/>
        </w:rPr>
        <w:t>миллионники</w:t>
      </w:r>
      <w:proofErr w:type="spellEnd"/>
      <w:r>
        <w:rPr>
          <w:sz w:val="24"/>
          <w:szCs w:val="24"/>
        </w:rPr>
        <w:t>» продемонстрировали на четверть меньший рост, чем Москва и «</w:t>
      </w:r>
      <w:proofErr w:type="spellStart"/>
      <w:r>
        <w:rPr>
          <w:sz w:val="24"/>
          <w:szCs w:val="24"/>
        </w:rPr>
        <w:t>пятисоттысячники</w:t>
      </w:r>
      <w:proofErr w:type="spellEnd"/>
      <w:r>
        <w:rPr>
          <w:sz w:val="24"/>
          <w:szCs w:val="24"/>
        </w:rPr>
        <w:t>». Но в следующем 2011-м году как раз «</w:t>
      </w:r>
      <w:proofErr w:type="spellStart"/>
      <w:r>
        <w:rPr>
          <w:sz w:val="24"/>
          <w:szCs w:val="24"/>
        </w:rPr>
        <w:t>миллионники</w:t>
      </w:r>
      <w:proofErr w:type="spellEnd"/>
      <w:r>
        <w:rPr>
          <w:sz w:val="24"/>
          <w:szCs w:val="24"/>
        </w:rPr>
        <w:t>» показали рост повседневного потребления на четверть выше московского и почти в два раза выше, чем города с населением от 500 тысяч до миллиона жителей. «</w:t>
      </w:r>
      <w:proofErr w:type="spellStart"/>
      <w:r>
        <w:rPr>
          <w:sz w:val="24"/>
          <w:szCs w:val="24"/>
        </w:rPr>
        <w:t>Пятисоттысячники</w:t>
      </w:r>
      <w:proofErr w:type="spellEnd"/>
      <w:r>
        <w:rPr>
          <w:sz w:val="24"/>
          <w:szCs w:val="24"/>
        </w:rPr>
        <w:t xml:space="preserve">» отыгрались в 2012-м – </w:t>
      </w:r>
      <w:r w:rsidRPr="00637FA5">
        <w:rPr>
          <w:b/>
          <w:sz w:val="24"/>
          <w:szCs w:val="24"/>
        </w:rPr>
        <w:t>см. Диаграмму 2</w:t>
      </w:r>
      <w:r>
        <w:rPr>
          <w:sz w:val="24"/>
          <w:szCs w:val="24"/>
        </w:rPr>
        <w:t>. Но, «провалились» в прошедшем 2013-м. За весь год номинальный рост повседневного потребления в городах этого размера составил всего 6%. А с учетом инфляции потребительского рынка (6,5%) можно говорить о стагнации повседневного потребления в городах с населением от 500 тысяч до миллиона человек в 2013-м году. Возможно, повседневные расходы в этих городах «наверстают отставание» уже в 2014-м году.</w:t>
      </w:r>
    </w:p>
    <w:p w:rsidR="00BB223A" w:rsidRDefault="00BB223A">
      <w:pPr>
        <w:rPr>
          <w:sz w:val="24"/>
          <w:szCs w:val="24"/>
        </w:rPr>
      </w:pPr>
      <w:r>
        <w:rPr>
          <w:sz w:val="24"/>
          <w:szCs w:val="24"/>
        </w:rPr>
        <w:t>Еще более дифференцированную динамику демонстрируют показатели потребления по отдельным городам. Так, к примеру, Санкт-Петербург в 2009-м году показал 26% номинального роста повседневного потребления. Или – почти 15% реального роста расходов. Но, уже в 2010-м году город на Неве постигло снижение потребительской активности. Расходы снизились на 2,5% в номинальном и на 10% в реальном выражении. Зато в 2011-м Петербург стал абсолютным лидером по росту повседневного потребления с показателями: +52% номинального и +42% реального роста.</w:t>
      </w:r>
      <w:r w:rsidR="004B4202">
        <w:rPr>
          <w:sz w:val="24"/>
          <w:szCs w:val="24"/>
        </w:rPr>
        <w:t xml:space="preserve"> А следующие два года повседневные расходы в северной столице России демонстрировали нулевой номинальный рост. Реальное потребление за два года сократилось примерно на 12%. Однако, нельзя не отметить, что даже в условиях такой «рваной» динамики номинальный уровень потребления продуктов питания и непродовольственных товаров повседневного спроса в Санкт-Петербурге в 2013-м году почти в два раза (на 88%) превысил показатели 2008-го года. Реальный рост повседневного потребления составил за пятилетку около 25%.</w:t>
      </w:r>
    </w:p>
    <w:p w:rsidR="00BB223A" w:rsidRDefault="00BB223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 вот Москва в целом по 2013-му году показала очень хороший рост: 16% в номинальном и почти 9% в реальном (с поправкой на инфляцию) выражении. Правда весь этот рост (и даже больше) пришелся на первые три квартала. А в конце года показатели потребления по Москве ушли в глубокий минус. Если ситуация не выправится к весне 2014-го, то «провальным» для московского потребительского рынка может стать как раз весь 2014-й год.</w:t>
      </w:r>
    </w:p>
    <w:p w:rsidR="00E607BD" w:rsidRDefault="00E607BD">
      <w:pPr>
        <w:rPr>
          <w:sz w:val="24"/>
          <w:szCs w:val="24"/>
        </w:rPr>
      </w:pPr>
    </w:p>
    <w:p w:rsidR="00781EE5" w:rsidRDefault="00781EE5">
      <w:pPr>
        <w:rPr>
          <w:sz w:val="24"/>
          <w:szCs w:val="24"/>
        </w:rPr>
      </w:pPr>
      <w:r>
        <w:rPr>
          <w:sz w:val="24"/>
          <w:szCs w:val="24"/>
        </w:rPr>
        <w:t>В 2009-м и 2010-м гг. повседневное потребление в семьях с доходами ниже среднего уровня (называя вещи своими именами этих потребителей можно назвать «</w:t>
      </w:r>
      <w:proofErr w:type="gramStart"/>
      <w:r>
        <w:rPr>
          <w:sz w:val="24"/>
          <w:szCs w:val="24"/>
        </w:rPr>
        <w:t>мало-обеспеченными</w:t>
      </w:r>
      <w:proofErr w:type="gramEnd"/>
      <w:r>
        <w:rPr>
          <w:sz w:val="24"/>
          <w:szCs w:val="24"/>
        </w:rPr>
        <w:t xml:space="preserve">» или «бедными») росли существенно более высокими темпами по сравнению с семьями среднего достатка и семьями с высоким уровнем достатка. </w:t>
      </w:r>
      <w:r w:rsidRPr="00781EE5">
        <w:rPr>
          <w:b/>
          <w:sz w:val="24"/>
          <w:szCs w:val="24"/>
        </w:rPr>
        <w:t>См. Диаграмму 3</w:t>
      </w:r>
      <w:r>
        <w:rPr>
          <w:sz w:val="24"/>
          <w:szCs w:val="24"/>
        </w:rPr>
        <w:t>. Реальный уровень повседневного потребления в «бедных» домохозяйствах за эти два года вырос более чем на 20%. Следующие три года темпы роста повседневного потребления в этой потребительской группке снижались. Но, все же оставались в области положительных (в смысле роста реального потребления) значений. Даже в 2013-м году номинальное потребление у «бедных» выросло на 8%, а реальное – на 1,4%. Если, конечно, не принять гипотезу, что инфляция для «бедных» в 2013-м году была выше инфляции для «богатых». За три последних года уровень реального потребления в «бедных» семьях вырос как минимум на 10%. А за всю пятилетку (2009 – 2013) – на 30 – 35%.</w:t>
      </w:r>
    </w:p>
    <w:p w:rsidR="00CD6191" w:rsidRDefault="00CD6191">
      <w:pPr>
        <w:rPr>
          <w:sz w:val="24"/>
          <w:szCs w:val="24"/>
        </w:rPr>
      </w:pPr>
    </w:p>
    <w:p w:rsidR="008913DD" w:rsidRPr="000C0EA3" w:rsidRDefault="008913DD" w:rsidP="008913DD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Диаграмма 3</w:t>
      </w:r>
      <w:r w:rsidRPr="000C0EA3">
        <w:rPr>
          <w:b/>
          <w:sz w:val="24"/>
          <w:szCs w:val="24"/>
        </w:rPr>
        <w:t>. Номинальные</w:t>
      </w:r>
      <w:r>
        <w:rPr>
          <w:b/>
          <w:sz w:val="24"/>
          <w:szCs w:val="24"/>
        </w:rPr>
        <w:t xml:space="preserve"> </w:t>
      </w:r>
      <w:r w:rsidRPr="000C0EA3">
        <w:rPr>
          <w:b/>
          <w:sz w:val="24"/>
          <w:szCs w:val="24"/>
        </w:rPr>
        <w:t xml:space="preserve">темпы роста повседневного потребления в </w:t>
      </w:r>
      <w:r>
        <w:rPr>
          <w:b/>
          <w:sz w:val="24"/>
          <w:szCs w:val="24"/>
        </w:rPr>
        <w:t xml:space="preserve">различных социальных группах в </w:t>
      </w:r>
      <w:r w:rsidRPr="000C0EA3">
        <w:rPr>
          <w:b/>
          <w:sz w:val="24"/>
          <w:szCs w:val="24"/>
        </w:rPr>
        <w:t xml:space="preserve">2009 – 2013 гг. </w:t>
      </w:r>
      <w:proofErr w:type="gramStart"/>
      <w:r w:rsidRPr="000C0EA3">
        <w:rPr>
          <w:b/>
          <w:sz w:val="24"/>
          <w:szCs w:val="24"/>
        </w:rPr>
        <w:t>В</w:t>
      </w:r>
      <w:proofErr w:type="gramEnd"/>
      <w:r w:rsidRPr="000C0EA3">
        <w:rPr>
          <w:b/>
          <w:sz w:val="24"/>
          <w:szCs w:val="24"/>
        </w:rPr>
        <w:t xml:space="preserve"> %</w:t>
      </w:r>
    </w:p>
    <w:p w:rsidR="008913DD" w:rsidRDefault="008913DD" w:rsidP="008913D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AEC5828" wp14:editId="27FEABE2">
            <wp:extent cx="5486400" cy="25146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13DD" w:rsidRPr="000C0EA3" w:rsidRDefault="008913DD" w:rsidP="008913DD">
      <w:pPr>
        <w:rPr>
          <w:b/>
          <w:sz w:val="24"/>
          <w:szCs w:val="24"/>
        </w:rPr>
      </w:pPr>
      <w:r w:rsidRPr="000C0EA3">
        <w:rPr>
          <w:b/>
          <w:sz w:val="24"/>
          <w:szCs w:val="24"/>
        </w:rPr>
        <w:t xml:space="preserve">Источник - </w:t>
      </w:r>
      <w:proofErr w:type="spellStart"/>
      <w:r w:rsidRPr="000C0EA3">
        <w:rPr>
          <w:b/>
          <w:sz w:val="24"/>
          <w:szCs w:val="24"/>
        </w:rPr>
        <w:t>Ромир</w:t>
      </w:r>
      <w:proofErr w:type="spellEnd"/>
    </w:p>
    <w:p w:rsidR="00CD6191" w:rsidRDefault="00CD6191">
      <w:pPr>
        <w:rPr>
          <w:sz w:val="24"/>
          <w:szCs w:val="24"/>
        </w:rPr>
      </w:pPr>
    </w:p>
    <w:p w:rsidR="00CD6191" w:rsidRDefault="00CD6191">
      <w:pPr>
        <w:rPr>
          <w:sz w:val="24"/>
          <w:szCs w:val="24"/>
        </w:rPr>
      </w:pPr>
    </w:p>
    <w:p w:rsidR="00CD6191" w:rsidRDefault="00CF1F0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семьях среднего достатка повседневное потребление росло высокими темпами в 2009-м, 2011-м и 2012-м годах. В 2010-м номинальный рост повседневных расходов у этой группы домохозяйств составил всего 11%, а реальный – скромные 2 – 2,5%. А вот в 2013-м году у этой группы семей не было даже номинального роста повседневного потребления. А реальные потребительские расходы сократились примерно на 6%. Практически – к уровню 2011-го года. Так что недовольство «среднего класса» имеет вполне объективную экономическую основу. 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за пятилетку рост реального повседневного потребления у средне-обеспеченных составил порядка 20 – 25%.</w:t>
      </w:r>
    </w:p>
    <w:p w:rsidR="00CD6191" w:rsidRDefault="00562BA4">
      <w:pPr>
        <w:rPr>
          <w:sz w:val="24"/>
          <w:szCs w:val="24"/>
        </w:rPr>
      </w:pPr>
      <w:r>
        <w:rPr>
          <w:sz w:val="24"/>
          <w:szCs w:val="24"/>
        </w:rPr>
        <w:t xml:space="preserve">Группа «обеспеченных» потребителей демонстрировала довольно скромные показатели роста повседневного потребления вы 2009-м и особенно – 2010-м году (9% номинального и хорошо, если 1% реального роста). Зато в 2011-м и 2013-м гг. именно эта группа была в лидерах роста. Причем, в 2013-м году </w:t>
      </w:r>
      <w:proofErr w:type="gramStart"/>
      <w:r>
        <w:rPr>
          <w:sz w:val="24"/>
          <w:szCs w:val="24"/>
        </w:rPr>
        <w:t>это</w:t>
      </w:r>
      <w:proofErr w:type="gramEnd"/>
      <w:r>
        <w:rPr>
          <w:sz w:val="24"/>
          <w:szCs w:val="24"/>
        </w:rPr>
        <w:t xml:space="preserve"> похоже оказалась единственная группа, продемонстрировавшая рост реального потребления. Пускай и на невпечатляющие (по сравнению с былыми показ</w:t>
      </w:r>
      <w:r w:rsidR="00A84ABB">
        <w:rPr>
          <w:sz w:val="24"/>
          <w:szCs w:val="24"/>
        </w:rPr>
        <w:t>ат</w:t>
      </w:r>
      <w:r>
        <w:rPr>
          <w:sz w:val="24"/>
          <w:szCs w:val="24"/>
        </w:rPr>
        <w:t>елями)</w:t>
      </w:r>
      <w:r w:rsidR="00A84ABB">
        <w:rPr>
          <w:sz w:val="24"/>
          <w:szCs w:val="24"/>
        </w:rPr>
        <w:t xml:space="preserve"> 5 – 6%. За пять лет реальное потребление в этой группе выросло на 33 – 38%.</w:t>
      </w:r>
    </w:p>
    <w:p w:rsidR="00A223F1" w:rsidRDefault="00A223F1">
      <w:pPr>
        <w:rPr>
          <w:sz w:val="24"/>
          <w:szCs w:val="24"/>
        </w:rPr>
      </w:pPr>
    </w:p>
    <w:p w:rsidR="00A84ABB" w:rsidRDefault="00A84ABB">
      <w:pPr>
        <w:rPr>
          <w:sz w:val="24"/>
          <w:szCs w:val="24"/>
        </w:rPr>
      </w:pPr>
    </w:p>
    <w:p w:rsidR="00A223F1" w:rsidRPr="00A223F1" w:rsidRDefault="00A223F1" w:rsidP="00A223F1">
      <w:pPr>
        <w:rPr>
          <w:rFonts w:ascii="Calibri" w:eastAsia="Calibri" w:hAnsi="Calibri" w:cs="Times New Roman"/>
          <w:b/>
        </w:rPr>
      </w:pPr>
      <w:r w:rsidRPr="00A223F1">
        <w:rPr>
          <w:rFonts w:ascii="Calibri" w:eastAsia="Calibri" w:hAnsi="Calibri" w:cs="Times New Roman"/>
          <w:b/>
        </w:rPr>
        <w:t xml:space="preserve">_______________________СПРАВКА: </w:t>
      </w:r>
    </w:p>
    <w:p w:rsidR="00A223F1" w:rsidRPr="00A223F1" w:rsidRDefault="00A223F1" w:rsidP="00A223F1">
      <w:pPr>
        <w:rPr>
          <w:rFonts w:ascii="Calibri" w:eastAsia="Calibri" w:hAnsi="Calibri" w:cs="Times New Roman"/>
        </w:rPr>
      </w:pPr>
      <w:r w:rsidRPr="00A223F1">
        <w:rPr>
          <w:rFonts w:ascii="Calibri" w:eastAsia="Calibri" w:hAnsi="Calibri" w:cs="Times New Roman"/>
        </w:rPr>
        <w:t xml:space="preserve">Исследовательский холдинг </w:t>
      </w:r>
      <w:proofErr w:type="spellStart"/>
      <w:r w:rsidRPr="00A223F1">
        <w:rPr>
          <w:rFonts w:ascii="Calibri" w:eastAsia="Calibri" w:hAnsi="Calibri" w:cs="Times New Roman"/>
        </w:rPr>
        <w:t>Ромир</w:t>
      </w:r>
      <w:proofErr w:type="spellEnd"/>
      <w:r w:rsidRPr="00A223F1">
        <w:rPr>
          <w:rFonts w:ascii="Calibri" w:eastAsia="Calibri" w:hAnsi="Calibri" w:cs="Times New Roman"/>
        </w:rPr>
        <w:t xml:space="preserve"> разработал новый инструмент измерения потребительской активности – </w:t>
      </w:r>
      <w:r w:rsidRPr="00A223F1">
        <w:rPr>
          <w:rFonts w:ascii="Calibri" w:eastAsia="Calibri" w:hAnsi="Calibri" w:cs="Times New Roman"/>
          <w:i/>
        </w:rPr>
        <w:t>«</w:t>
      </w:r>
      <w:proofErr w:type="spellStart"/>
      <w:r w:rsidRPr="00A223F1">
        <w:rPr>
          <w:rFonts w:ascii="Calibri" w:eastAsia="Calibri" w:hAnsi="Calibri" w:cs="Times New Roman"/>
          <w:i/>
        </w:rPr>
        <w:t>Ромир</w:t>
      </w:r>
      <w:proofErr w:type="spellEnd"/>
      <w:r w:rsidRPr="00A223F1">
        <w:rPr>
          <w:rFonts w:ascii="Calibri" w:eastAsia="Calibri" w:hAnsi="Calibri" w:cs="Times New Roman"/>
          <w:i/>
        </w:rPr>
        <w:t xml:space="preserve"> - индексы покупательской активности»</w:t>
      </w:r>
      <w:r w:rsidRPr="00A223F1">
        <w:rPr>
          <w:rFonts w:ascii="Calibri" w:eastAsia="Calibri" w:hAnsi="Calibri" w:cs="Times New Roman"/>
        </w:rPr>
        <w:t>, рассчитываемые на основе панели из 3600 домохозяйств, оснащенных сканерами штрих кодов.</w:t>
      </w:r>
    </w:p>
    <w:p w:rsidR="00A223F1" w:rsidRPr="00A223F1" w:rsidRDefault="00A223F1" w:rsidP="00A223F1">
      <w:pPr>
        <w:rPr>
          <w:rFonts w:ascii="Calibri" w:eastAsia="Calibri" w:hAnsi="Calibri" w:cs="Times New Roman"/>
        </w:rPr>
      </w:pPr>
      <w:r w:rsidRPr="00A223F1">
        <w:rPr>
          <w:rFonts w:ascii="Calibri" w:eastAsia="Calibri" w:hAnsi="Calibri" w:cs="Times New Roman"/>
          <w:i/>
        </w:rPr>
        <w:t>«</w:t>
      </w:r>
      <w:proofErr w:type="spellStart"/>
      <w:r w:rsidRPr="00A223F1">
        <w:rPr>
          <w:rFonts w:ascii="Calibri" w:eastAsia="Calibri" w:hAnsi="Calibri" w:cs="Times New Roman"/>
          <w:i/>
        </w:rPr>
        <w:t>Ромир</w:t>
      </w:r>
      <w:proofErr w:type="spellEnd"/>
      <w:r w:rsidRPr="00A223F1">
        <w:rPr>
          <w:rFonts w:ascii="Calibri" w:eastAsia="Calibri" w:hAnsi="Calibri" w:cs="Times New Roman"/>
          <w:i/>
        </w:rPr>
        <w:t xml:space="preserve"> - индексы покупательской активности»</w:t>
      </w:r>
      <w:r w:rsidRPr="00A223F1">
        <w:rPr>
          <w:rFonts w:ascii="Calibri" w:eastAsia="Calibri" w:hAnsi="Calibri" w:cs="Times New Roman"/>
        </w:rPr>
        <w:t xml:space="preserve"> отражают динамику потребления товаров повседневного спроса и цен на них, качественный и количественный состав потребительской корзины, изменения в предпочтениях в отношении мест покупок жителей российских городов.</w:t>
      </w:r>
    </w:p>
    <w:p w:rsidR="00A223F1" w:rsidRPr="00A223F1" w:rsidRDefault="00A223F1" w:rsidP="00A223F1">
      <w:pPr>
        <w:rPr>
          <w:rFonts w:ascii="Calibri" w:eastAsia="Calibri" w:hAnsi="Calibri" w:cs="Times New Roman"/>
        </w:rPr>
      </w:pPr>
      <w:r w:rsidRPr="00A223F1">
        <w:rPr>
          <w:rFonts w:ascii="Calibri" w:eastAsia="Calibri" w:hAnsi="Calibri" w:cs="Times New Roman"/>
        </w:rPr>
        <w:t xml:space="preserve">Базой для расчета индексов являются ежедневно обновляемые, верифицированные данные по покупкам более 100 категорий продовольственных и непродовольственных товаров в городах России с населением 100 000 жителей и более (технология сканирования штрих кодов).  </w:t>
      </w:r>
    </w:p>
    <w:p w:rsidR="00A223F1" w:rsidRPr="00A223F1" w:rsidRDefault="00A223F1" w:rsidP="00A223F1">
      <w:pPr>
        <w:rPr>
          <w:rFonts w:ascii="Calibri" w:eastAsia="Calibri" w:hAnsi="Calibri" w:cs="Times New Roman"/>
        </w:rPr>
      </w:pPr>
      <w:r w:rsidRPr="00A223F1">
        <w:rPr>
          <w:rFonts w:ascii="Calibri" w:eastAsia="Calibri" w:hAnsi="Calibri" w:cs="Times New Roman"/>
        </w:rPr>
        <w:t>________________________________________________________________</w:t>
      </w:r>
    </w:p>
    <w:p w:rsidR="00A223F1" w:rsidRPr="00CD6191" w:rsidRDefault="00A223F1">
      <w:pPr>
        <w:rPr>
          <w:sz w:val="24"/>
          <w:szCs w:val="24"/>
        </w:rPr>
      </w:pPr>
    </w:p>
    <w:sectPr w:rsidR="00A223F1" w:rsidRPr="00CD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72"/>
    <w:rsid w:val="00006207"/>
    <w:rsid w:val="00075A32"/>
    <w:rsid w:val="000C0EA3"/>
    <w:rsid w:val="00134319"/>
    <w:rsid w:val="00240EBF"/>
    <w:rsid w:val="00325556"/>
    <w:rsid w:val="00492350"/>
    <w:rsid w:val="004B4202"/>
    <w:rsid w:val="005158F9"/>
    <w:rsid w:val="00562BA4"/>
    <w:rsid w:val="006323BC"/>
    <w:rsid w:val="00637FA5"/>
    <w:rsid w:val="00781EE5"/>
    <w:rsid w:val="00823CC5"/>
    <w:rsid w:val="008252A1"/>
    <w:rsid w:val="008913DD"/>
    <w:rsid w:val="008A49D6"/>
    <w:rsid w:val="00931682"/>
    <w:rsid w:val="009929BF"/>
    <w:rsid w:val="00A17F12"/>
    <w:rsid w:val="00A223F1"/>
    <w:rsid w:val="00A30A38"/>
    <w:rsid w:val="00A80B23"/>
    <w:rsid w:val="00A84ABB"/>
    <w:rsid w:val="00AD4C72"/>
    <w:rsid w:val="00BB223A"/>
    <w:rsid w:val="00C0032D"/>
    <w:rsid w:val="00C463CB"/>
    <w:rsid w:val="00CD6191"/>
    <w:rsid w:val="00CF1F04"/>
    <w:rsid w:val="00DA13E0"/>
    <w:rsid w:val="00DA7DD8"/>
    <w:rsid w:val="00E607BD"/>
    <w:rsid w:val="00F0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Номинальные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15</c:v>
                </c:pt>
                <c:pt idx="2">
                  <c:v>18.5</c:v>
                </c:pt>
                <c:pt idx="3">
                  <c:v>14.5</c:v>
                </c:pt>
                <c:pt idx="4">
                  <c:v>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Реальные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7.5</c:v>
                </c:pt>
                <c:pt idx="2">
                  <c:v>9.5</c:v>
                </c:pt>
                <c:pt idx="3">
                  <c:v>7.5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970432"/>
        <c:axId val="139971968"/>
      </c:barChart>
      <c:catAx>
        <c:axId val="139970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9971968"/>
        <c:crosses val="autoZero"/>
        <c:auto val="1"/>
        <c:lblAlgn val="ctr"/>
        <c:lblOffset val="100"/>
        <c:noMultiLvlLbl val="0"/>
      </c:catAx>
      <c:valAx>
        <c:axId val="139971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970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Москва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15</c:v>
                </c:pt>
                <c:pt idx="2">
                  <c:v>16.5</c:v>
                </c:pt>
                <c:pt idx="3">
                  <c:v>12.5</c:v>
                </c:pt>
                <c:pt idx="4">
                  <c:v>16.5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Миллионники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</c:v>
                </c:pt>
                <c:pt idx="1">
                  <c:v>12.5</c:v>
                </c:pt>
                <c:pt idx="2">
                  <c:v>21</c:v>
                </c:pt>
                <c:pt idx="3">
                  <c:v>13.5</c:v>
                </c:pt>
                <c:pt idx="4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500 тыс. +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30</c:v>
                </c:pt>
                <c:pt idx="1">
                  <c:v>16</c:v>
                </c:pt>
                <c:pt idx="2">
                  <c:v>12</c:v>
                </c:pt>
                <c:pt idx="3">
                  <c:v>21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538624"/>
        <c:axId val="142540160"/>
      </c:barChart>
      <c:catAx>
        <c:axId val="142538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540160"/>
        <c:crosses val="autoZero"/>
        <c:auto val="1"/>
        <c:lblAlgn val="ctr"/>
        <c:lblOffset val="100"/>
        <c:noMultiLvlLbl val="0"/>
      </c:catAx>
      <c:valAx>
        <c:axId val="142540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538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"Бедные"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15</c:v>
                </c:pt>
                <c:pt idx="2">
                  <c:v>14</c:v>
                </c:pt>
                <c:pt idx="3">
                  <c:v>11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доход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21</c:v>
                </c:pt>
                <c:pt idx="1">
                  <c:v>11</c:v>
                </c:pt>
                <c:pt idx="2">
                  <c:v>18</c:v>
                </c:pt>
                <c:pt idx="3">
                  <c:v>16</c:v>
                </c:pt>
                <c:pt idx="4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"Обеспеченные"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19</c:v>
                </c:pt>
                <c:pt idx="1">
                  <c:v>9</c:v>
                </c:pt>
                <c:pt idx="2">
                  <c:v>21.5</c:v>
                </c:pt>
                <c:pt idx="3">
                  <c:v>11.5</c:v>
                </c:pt>
                <c:pt idx="4">
                  <c:v>12.5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930688"/>
        <c:axId val="144932224"/>
      </c:barChart>
      <c:catAx>
        <c:axId val="144930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932224"/>
        <c:crosses val="autoZero"/>
        <c:auto val="1"/>
        <c:lblAlgn val="ctr"/>
        <c:lblOffset val="100"/>
        <c:noMultiLvlLbl val="0"/>
      </c:catAx>
      <c:valAx>
        <c:axId val="144932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930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18</cp:revision>
  <dcterms:created xsi:type="dcterms:W3CDTF">2014-01-29T10:44:00Z</dcterms:created>
  <dcterms:modified xsi:type="dcterms:W3CDTF">2014-02-06T10:21:00Z</dcterms:modified>
</cp:coreProperties>
</file>