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67" w:rsidRPr="004D756B" w:rsidRDefault="00CD3867" w:rsidP="004D756B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bookmarkStart w:id="0" w:name="_GoBack"/>
      <w:bookmarkEnd w:id="0"/>
      <w:r w:rsidRPr="004D756B">
        <w:rPr>
          <w:rStyle w:val="a7"/>
          <w:rFonts w:ascii="Arial" w:hAnsi="Arial" w:cs="Arial"/>
          <w:i/>
          <w:iCs/>
          <w:color w:val="1E90FF"/>
          <w:sz w:val="28"/>
          <w:szCs w:val="28"/>
        </w:rPr>
        <w:t>Добрый день, уважаемые коллеги!</w:t>
      </w:r>
    </w:p>
    <w:p w:rsidR="00CD3867" w:rsidRPr="00CD3867" w:rsidRDefault="00CD3867" w:rsidP="00CD3867">
      <w:pPr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4D756B" w:rsidRPr="004D756B" w:rsidRDefault="004D756B" w:rsidP="004D756B">
      <w:pPr>
        <w:contextualSpacing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noProof/>
          <w:color w:val="1A3DC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DA8766" wp14:editId="7D89493D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428750" cy="1428750"/>
            <wp:effectExtent l="0" t="0" r="0" b="0"/>
            <wp:wrapSquare wrapText="bothSides"/>
            <wp:docPr id="6168" name="Рисунок 6168" descr="http://im2-tub-ru.yandex.net/i?id=265637585-60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265637585-60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56B">
        <w:rPr>
          <w:rFonts w:ascii="Arial" w:hAnsi="Arial" w:cs="Arial"/>
          <w:i/>
          <w:sz w:val="28"/>
          <w:szCs w:val="28"/>
        </w:rPr>
        <w:t>Глава 10</w:t>
      </w:r>
    </w:p>
    <w:p w:rsidR="004D756B" w:rsidRPr="004D756B" w:rsidRDefault="004D756B" w:rsidP="004D756B">
      <w:pPr>
        <w:contextualSpacing/>
        <w:rPr>
          <w:rFonts w:ascii="Arial" w:hAnsi="Arial" w:cs="Arial"/>
          <w:b/>
          <w:i/>
          <w:sz w:val="28"/>
          <w:szCs w:val="28"/>
        </w:rPr>
      </w:pPr>
    </w:p>
    <w:p w:rsidR="004D756B" w:rsidRPr="004D756B" w:rsidRDefault="004D756B" w:rsidP="004D756B">
      <w:pPr>
        <w:contextualSpacing/>
        <w:rPr>
          <w:rFonts w:ascii="Arial" w:hAnsi="Arial" w:cs="Arial"/>
          <w:b/>
          <w:i/>
          <w:sz w:val="28"/>
          <w:szCs w:val="28"/>
        </w:rPr>
      </w:pPr>
      <w:r w:rsidRPr="004D756B">
        <w:rPr>
          <w:rFonts w:ascii="Arial" w:hAnsi="Arial" w:cs="Arial"/>
          <w:b/>
          <w:i/>
          <w:sz w:val="28"/>
          <w:szCs w:val="28"/>
        </w:rPr>
        <w:t>Сравниваем «до» и «после»</w:t>
      </w:r>
    </w:p>
    <w:p w:rsidR="004D756B" w:rsidRPr="004D756B" w:rsidRDefault="004D756B" w:rsidP="004D756B">
      <w:pPr>
        <w:contextualSpacing/>
        <w:rPr>
          <w:rFonts w:ascii="Arial" w:hAnsi="Arial" w:cs="Arial"/>
          <w:i/>
          <w:sz w:val="28"/>
          <w:szCs w:val="28"/>
        </w:rPr>
      </w:pPr>
    </w:p>
    <w:p w:rsidR="004D756B" w:rsidRPr="004D756B" w:rsidRDefault="004D756B" w:rsidP="004D756B">
      <w:pPr>
        <w:contextualSpacing/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 xml:space="preserve">Маркетинг, маркетинговый анализ  – это всегда сравнение. Что лучше, что хуже. Что – полезно, что - опасно. Поэтому мониторинг рынка – дело для маркетолога обычное. 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>Как должны выглядеть результаты мониторинга? Как оформить ежемесячный или ежеквартальный отчёт, чтобы в нём сразу было понятно, что изменилось по сравнению с предыдущим периодом? Для этого вводим в отчёт следующие разделы:</w:t>
      </w:r>
    </w:p>
    <w:p w:rsidR="004D756B" w:rsidRPr="004D756B" w:rsidRDefault="004D756B" w:rsidP="004D756B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  <w:szCs w:val="28"/>
        </w:rPr>
      </w:pPr>
      <w:r w:rsidRPr="004D756B">
        <w:rPr>
          <w:rFonts w:ascii="Arial" w:hAnsi="Arial" w:cs="Arial"/>
          <w:b/>
          <w:i/>
          <w:sz w:val="28"/>
          <w:szCs w:val="28"/>
        </w:rPr>
        <w:t>Таблицы</w:t>
      </w:r>
      <w:r w:rsidRPr="004D756B">
        <w:rPr>
          <w:rFonts w:ascii="Arial" w:hAnsi="Arial" w:cs="Arial"/>
          <w:i/>
          <w:sz w:val="28"/>
          <w:szCs w:val="28"/>
        </w:rPr>
        <w:t xml:space="preserve"> </w:t>
      </w:r>
      <w:r w:rsidRPr="004D756B">
        <w:rPr>
          <w:rFonts w:ascii="Arial" w:hAnsi="Arial" w:cs="Arial"/>
          <w:b/>
          <w:i/>
          <w:sz w:val="28"/>
          <w:szCs w:val="28"/>
        </w:rPr>
        <w:t>«Изменение долей поставщиков, покупателей и производителей»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 xml:space="preserve">В этих таблицах по каждому участнику рынка указываем изменение его  доли во времени (год к году, квартал к кварталу и т.п.) и заносим данные в графу «прирост доли рынка». Фирмы перечисляем по убыванию объёмов торговли за текущий период времени. Кроме того, цветом удобно выделить новые фирмы, которых в прошлом периоде не было. Если в новом периоде у них сразу возникает несколько процентов, то это всегда достойно внимания. Новички – зона особого риска. Если хотим понять – кто быстрее всех двигается, перестраиваем список по фильтру «прирост доли рынка» по убыванию параметра.  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>Однако самое быстрое и наглядное понимание произошедших изменений конкурентной среды даёт, на мой взгляд,  график изменений долей рынка в виде матрицы БКГ.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b/>
          <w:i/>
          <w:sz w:val="28"/>
          <w:szCs w:val="28"/>
        </w:rPr>
        <w:t>9.</w:t>
      </w:r>
      <w:r w:rsidRPr="004D756B">
        <w:rPr>
          <w:rFonts w:ascii="Arial" w:hAnsi="Arial" w:cs="Arial"/>
          <w:i/>
          <w:sz w:val="28"/>
          <w:szCs w:val="28"/>
        </w:rPr>
        <w:t xml:space="preserve">  </w:t>
      </w:r>
      <w:r w:rsidRPr="004D756B">
        <w:rPr>
          <w:rFonts w:ascii="Arial" w:hAnsi="Arial" w:cs="Arial"/>
          <w:b/>
          <w:i/>
          <w:sz w:val="28"/>
          <w:szCs w:val="28"/>
        </w:rPr>
        <w:t>Графики изменений долей рынка ведущих поставщиков, покупателей и производителей</w:t>
      </w:r>
      <w:r w:rsidRPr="004D756B">
        <w:rPr>
          <w:rFonts w:ascii="Arial" w:hAnsi="Arial" w:cs="Arial"/>
          <w:i/>
          <w:sz w:val="28"/>
          <w:szCs w:val="28"/>
        </w:rPr>
        <w:t xml:space="preserve"> 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 xml:space="preserve">Матрица (так называемая матрица БКГ)  отображает  на оси координат </w:t>
      </w:r>
      <w:r w:rsidRPr="004D756B">
        <w:rPr>
          <w:rFonts w:ascii="Arial" w:hAnsi="Arial" w:cs="Arial"/>
          <w:i/>
          <w:sz w:val="28"/>
          <w:szCs w:val="28"/>
          <w:lang w:val="en-US"/>
        </w:rPr>
        <w:t>X</w:t>
      </w:r>
      <w:r w:rsidRPr="004D756B">
        <w:rPr>
          <w:rFonts w:ascii="Arial" w:hAnsi="Arial" w:cs="Arial"/>
          <w:i/>
          <w:sz w:val="28"/>
          <w:szCs w:val="28"/>
        </w:rPr>
        <w:t>-</w:t>
      </w:r>
      <w:r w:rsidRPr="004D756B">
        <w:rPr>
          <w:rFonts w:ascii="Arial" w:hAnsi="Arial" w:cs="Arial"/>
          <w:i/>
          <w:sz w:val="28"/>
          <w:szCs w:val="28"/>
          <w:lang w:val="en-US"/>
        </w:rPr>
        <w:t>Y</w:t>
      </w:r>
      <w:r w:rsidRPr="004D756B">
        <w:rPr>
          <w:rFonts w:ascii="Arial" w:hAnsi="Arial" w:cs="Arial"/>
          <w:i/>
          <w:sz w:val="28"/>
          <w:szCs w:val="28"/>
        </w:rPr>
        <w:t xml:space="preserve"> темпы роста/падения конкурирующих компаний одновременно с объёмами их торговли. Рисунок обладает высокой информативностью: на одном графике мгновенно определяются лидеры и аутсайдеры сразу по двум параметрам: по объёмам </w:t>
      </w:r>
      <w:r w:rsidRPr="004D756B">
        <w:rPr>
          <w:rFonts w:ascii="Arial" w:hAnsi="Arial" w:cs="Arial"/>
          <w:i/>
          <w:sz w:val="28"/>
          <w:szCs w:val="28"/>
        </w:rPr>
        <w:lastRenderedPageBreak/>
        <w:t>торговли и по темпам продвижения на рынке.  У кого шар больше – тот имеем максимальные объёмы торговли, у кого меньше – минимальные;  кто выше всех вверху рисунка  – тот лидер по темпам роста, кто ниже всех – сдаёт всем свои позиции.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</w:p>
    <w:p w:rsidR="004D756B" w:rsidRPr="004D756B" w:rsidRDefault="004D756B" w:rsidP="004D756B">
      <w:pPr>
        <w:jc w:val="center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16CBACAA" wp14:editId="1EABA0D8">
            <wp:extent cx="4791075" cy="2571750"/>
            <wp:effectExtent l="38100" t="38100" r="142875" b="133350"/>
            <wp:docPr id="6144" name="Диаграмма 6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>Если Вы ищите нового покупателя, то сравнение темпов покажут вам у кого как «растут аппетиты» на закупку. Если ищите нового поставщика – увидите, кто, хотя ещё и не впереди всех, но скоро может стать лидером. Если ищите производителя – поймёте, чьи товары «набирают обороты» и растут в спросе.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b/>
          <w:i/>
          <w:sz w:val="28"/>
          <w:szCs w:val="28"/>
        </w:rPr>
        <w:t>10.</w:t>
      </w:r>
      <w:r w:rsidRPr="004D756B">
        <w:rPr>
          <w:rFonts w:ascii="Arial" w:hAnsi="Arial" w:cs="Arial"/>
          <w:i/>
          <w:sz w:val="28"/>
          <w:szCs w:val="28"/>
        </w:rPr>
        <w:t xml:space="preserve"> </w:t>
      </w:r>
      <w:r w:rsidRPr="004D756B">
        <w:rPr>
          <w:rFonts w:ascii="Arial" w:hAnsi="Arial" w:cs="Arial"/>
          <w:b/>
          <w:i/>
          <w:sz w:val="28"/>
          <w:szCs w:val="28"/>
        </w:rPr>
        <w:t xml:space="preserve">График изменений долей ведущих регионов-потребителей (регионов-поставщиков) </w:t>
      </w:r>
      <w:r w:rsidRPr="004D756B">
        <w:rPr>
          <w:rFonts w:ascii="Arial" w:hAnsi="Arial" w:cs="Arial"/>
          <w:i/>
          <w:sz w:val="28"/>
          <w:szCs w:val="28"/>
        </w:rPr>
        <w:t xml:space="preserve">  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>Та же самая на вид матрица, отображающая темпы роста/падения торговли российских регионов одновременно с объёмами их экспорта/импорта.</w:t>
      </w:r>
    </w:p>
    <w:p w:rsidR="004D756B" w:rsidRPr="004D756B" w:rsidRDefault="004D756B" w:rsidP="004D756B">
      <w:pPr>
        <w:jc w:val="both"/>
        <w:rPr>
          <w:rFonts w:ascii="Arial" w:hAnsi="Arial" w:cs="Arial"/>
          <w:i/>
          <w:sz w:val="28"/>
          <w:szCs w:val="28"/>
        </w:rPr>
      </w:pPr>
      <w:r w:rsidRPr="004D756B">
        <w:rPr>
          <w:rFonts w:ascii="Arial" w:hAnsi="Arial" w:cs="Arial"/>
          <w:i/>
          <w:sz w:val="28"/>
          <w:szCs w:val="28"/>
        </w:rPr>
        <w:t>Таким образом, эти три новых раздела позволят быстро сориентироваться, кто, хоть и не № 1 сегодня на рынке, но зато очень активно стал других двигать. Также, если Вы сами – участник ведущей семёрки, то тут же обнаружите, кого вы обошли, а кто вас опередил.</w:t>
      </w:r>
    </w:p>
    <w:p w:rsidR="004E1EC8" w:rsidRPr="004E1EC8" w:rsidRDefault="004E1EC8" w:rsidP="004E1EC8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4E1EC8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Видео урок: Сравниваем "до" и "после"</w:t>
      </w:r>
    </w:p>
    <w:p w:rsidR="004E1EC8" w:rsidRDefault="004E1EC8" w:rsidP="004E1EC8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498215" cy="2349500"/>
            <wp:effectExtent l="0" t="0" r="6985" b="0"/>
            <wp:docPr id="3" name="Рисунок 3" descr="http://www.vvs-info.ru/msg/images/04152013/yt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vs-info.ru/msg/images/04152013/yt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C8" w:rsidRDefault="00B76F10" w:rsidP="004E1EC8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hyperlink r:id="rId11" w:history="1">
        <w:r w:rsidR="004E1EC8">
          <w:rPr>
            <w:rStyle w:val="a8"/>
            <w:rFonts w:ascii="Arial" w:hAnsi="Arial" w:cs="Arial"/>
            <w:b/>
            <w:bCs/>
            <w:i/>
            <w:iCs/>
            <w:color w:val="0099FF"/>
            <w:sz w:val="27"/>
            <w:szCs w:val="27"/>
          </w:rPr>
          <w:t>Перейти к просмотру видео-урока</w:t>
        </w:r>
      </w:hyperlink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</w:p>
    <w:p w:rsidR="00CD3867" w:rsidRDefault="00CD3867" w:rsidP="00CD3867">
      <w:pPr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noProof/>
          <w:color w:val="0000FF"/>
          <w:sz w:val="27"/>
          <w:szCs w:val="27"/>
          <w:lang w:eastAsia="ru-RU"/>
        </w:rPr>
        <w:drawing>
          <wp:inline distT="0" distB="0" distL="0" distR="0" wp14:anchorId="3819B09B" wp14:editId="4C98EC65">
            <wp:extent cx="4019550" cy="685800"/>
            <wp:effectExtent l="0" t="0" r="0" b="0"/>
            <wp:docPr id="5" name="Рисунок 5" descr="http://vvs-info.ru/msg/review/img/butto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vs-info.ru/msg/review/img/butto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67" w:rsidRDefault="00B76F10" w:rsidP="00CD3867">
      <w:pPr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pict>
          <v:rect id="_x0000_i1025" style="width:467.75pt;height:1.5pt" o:hralign="center" o:hrstd="t" o:hr="t" fillcolor="#a0a0a0" stroked="f"/>
        </w:pict>
      </w:r>
    </w:p>
    <w:p w:rsidR="00CD3867" w:rsidRDefault="00CD3867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Style w:val="a7"/>
          <w:rFonts w:ascii="Arial" w:hAnsi="Arial" w:cs="Arial"/>
          <w:i/>
          <w:iCs/>
          <w:color w:val="1E90FF"/>
          <w:sz w:val="21"/>
          <w:szCs w:val="21"/>
        </w:rPr>
        <w:t>Держим связь,</w:t>
      </w:r>
    </w:p>
    <w:p w:rsidR="00CD3867" w:rsidRDefault="00CD3867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Style w:val="a7"/>
          <w:rFonts w:ascii="Arial" w:hAnsi="Arial" w:cs="Arial"/>
          <w:i/>
          <w:iCs/>
          <w:color w:val="1E90FF"/>
          <w:sz w:val="21"/>
          <w:szCs w:val="21"/>
        </w:rPr>
        <w:t>Жанна Мартынова - основатель и руководитель "VVS"</w:t>
      </w:r>
    </w:p>
    <w:p w:rsidR="00CD3867" w:rsidRDefault="00B76F10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hyperlink r:id="rId14" w:tgtFrame="_blank" w:history="1">
        <w:r w:rsidR="00CD3867">
          <w:rPr>
            <w:rStyle w:val="a8"/>
            <w:rFonts w:ascii="Arial" w:hAnsi="Arial" w:cs="Arial"/>
            <w:b/>
            <w:bCs/>
            <w:i/>
            <w:iCs/>
            <w:color w:val="1E90FF"/>
            <w:sz w:val="21"/>
            <w:szCs w:val="21"/>
          </w:rPr>
          <w:t>http://product-market.ru/</w:t>
        </w:r>
      </w:hyperlink>
      <w:r w:rsidR="00CD3867">
        <w:rPr>
          <w:rFonts w:ascii="Arial" w:hAnsi="Arial" w:cs="Arial"/>
          <w:i/>
          <w:iCs/>
          <w:color w:val="000000"/>
          <w:sz w:val="27"/>
          <w:szCs w:val="27"/>
        </w:rPr>
        <w:t>      </w:t>
      </w:r>
      <w:r w:rsidR="00CD3867"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</w:p>
    <w:p w:rsidR="004E657C" w:rsidRPr="00CD3867" w:rsidRDefault="004E657C" w:rsidP="00CD3867">
      <w:pPr>
        <w:rPr>
          <w:rFonts w:ascii="Arial" w:hAnsi="Arial" w:cs="Arial"/>
          <w:i/>
          <w:sz w:val="28"/>
          <w:szCs w:val="28"/>
        </w:rPr>
      </w:pPr>
    </w:p>
    <w:sectPr w:rsidR="004E657C" w:rsidRPr="00CD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2F9"/>
    <w:multiLevelType w:val="hybridMultilevel"/>
    <w:tmpl w:val="00E49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D17DC"/>
    <w:multiLevelType w:val="hybridMultilevel"/>
    <w:tmpl w:val="112E6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DA2621"/>
    <w:multiLevelType w:val="hybridMultilevel"/>
    <w:tmpl w:val="F6E6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1B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7"/>
    <w:rsid w:val="004D756B"/>
    <w:rsid w:val="004E1EC8"/>
    <w:rsid w:val="004E657C"/>
    <w:rsid w:val="00B76F10"/>
    <w:rsid w:val="00CD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vvs-info.ru/msg/review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p=4&amp;text=%D0%BC%D0%BE%D0%BD%D0%B8%D1%82%D0%BE%D1%80%D0%B8%D0%BD%D0%B3&amp;img_url=http://ekb.dkvartal.ru/system/images/news/000/330/738_x_thumb.png&amp;pos=141&amp;uinfo=sw-1233-sh-588-fw-1008-fh-448-pd-1&amp;rpt=simage" TargetMode="External"/><Relationship Id="rId11" Type="http://schemas.openxmlformats.org/officeDocument/2006/relationships/hyperlink" Target="http://www.youtube.com/watch?v=X0kT0_SjW2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X0kT0_SjW2Y" TargetMode="External"/><Relationship Id="rId14" Type="http://schemas.openxmlformats.org/officeDocument/2006/relationships/hyperlink" Target="http://product-market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400"/>
              <a:t>Изменение конкурентных позиций ведущих импортеров</a:t>
            </a:r>
          </a:p>
        </c:rich>
      </c:tx>
      <c:layout>
        <c:manualLayout>
          <c:xMode val="edge"/>
          <c:yMode val="edge"/>
          <c:x val="0.16358384989110406"/>
          <c:y val="2.27088402270884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xMode val="edge"/>
          <c:yMode val="edge"/>
          <c:x val="4.5390070921985819E-2"/>
          <c:y val="0.20762368207623683"/>
          <c:w val="0.71867612293144212"/>
          <c:h val="0.71370640713706412"/>
        </c:manualLayout>
      </c:layout>
      <c:bubbleChart>
        <c:varyColors val="0"/>
        <c:ser>
          <c:idx val="0"/>
          <c:order val="0"/>
          <c:tx>
            <c:strRef>
              <c:f>'C:\Users\Жанна\Desktop\п.16 Премиум анализ ВЭД\[Динамика импорта ЖЕЛАТИН 2011-2012.xlsx]Табл.6'!$C$8</c:f>
              <c:strCache>
                <c:ptCount val="1"/>
                <c:pt idx="0">
                  <c:v>ООО УДЭ ХЕМИ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2011-2012.xlsx]Табл.6'!$E$8</c:f>
              <c:numCache>
                <c:formatCode>General</c:formatCode>
                <c:ptCount val="1"/>
                <c:pt idx="0">
                  <c:v>0.22641459034918152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2011-2012.xlsx]Табл.6'!$H$8</c:f>
              <c:numCache>
                <c:formatCode>General</c:formatCode>
                <c:ptCount val="1"/>
                <c:pt idx="0">
                  <c:v>4.4287853034901126E-2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2011-2012.xlsx]Табл.6'!$E$8</c:f>
              <c:numCache>
                <c:formatCode>General</c:formatCode>
                <c:ptCount val="1"/>
                <c:pt idx="0">
                  <c:v>0.22641459034918152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'C:\Users\Жанна\Desktop\п.16 Премиум анализ ВЭД\[Динамика импорта ЖЕЛАТИН 2011-2012.xlsx]Табл.6'!$C$9</c:f>
              <c:strCache>
                <c:ptCount val="1"/>
                <c:pt idx="0">
                  <c:v>ЗАО СОЮЗСНАБ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2011-2012.xlsx]Табл.6'!$E$9</c:f>
              <c:numCache>
                <c:formatCode>General</c:formatCode>
                <c:ptCount val="1"/>
                <c:pt idx="0">
                  <c:v>0.14905249444970509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2011-2012.xlsx]Табл.6'!$H$9</c:f>
              <c:numCache>
                <c:formatCode>General</c:formatCode>
                <c:ptCount val="1"/>
                <c:pt idx="0">
                  <c:v>0.14905249444970509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2011-2012.xlsx]Табл.6'!$E$9</c:f>
              <c:numCache>
                <c:formatCode>General</c:formatCode>
                <c:ptCount val="1"/>
                <c:pt idx="0">
                  <c:v>0.14905249444970509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'C:\Users\Жанна\Desktop\п.16 Премиум анализ ВЭД\[Динамика импорта ЖЕЛАТИН 2011-2012.xlsx]Табл.6'!$C$10</c:f>
              <c:strCache>
                <c:ptCount val="1"/>
                <c:pt idx="0">
                  <c:v>ООО РИТОЛЬ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2011-2012.xlsx]Табл.6'!$E$10</c:f>
              <c:numCache>
                <c:formatCode>General</c:formatCode>
                <c:ptCount val="1"/>
                <c:pt idx="0">
                  <c:v>0.12749281400750351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2011-2012.xlsx]Табл.6'!$H$10</c:f>
              <c:numCache>
                <c:formatCode>General</c:formatCode>
                <c:ptCount val="1"/>
                <c:pt idx="0">
                  <c:v>0.12749281400750351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2011-2012.xlsx]Табл.6'!$E$10</c:f>
              <c:numCache>
                <c:formatCode>General</c:formatCode>
                <c:ptCount val="1"/>
                <c:pt idx="0">
                  <c:v>0.12749281400750351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'C:\Users\Жанна\Desktop\п.16 Премиум анализ ВЭД\[Динамика импорта ЖЕЛАТИН 2011-2012.xlsx]Табл.6'!$C$11</c:f>
              <c:strCache>
                <c:ptCount val="1"/>
                <c:pt idx="0">
                  <c:v>ООО СТ ФУДЗ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2011-2012.xlsx]Табл.6'!$E$11</c:f>
              <c:numCache>
                <c:formatCode>General</c:formatCode>
                <c:ptCount val="1"/>
                <c:pt idx="0">
                  <c:v>0.10427119846407529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2011-2012.xlsx]Табл.6'!$H$11</c:f>
              <c:numCache>
                <c:formatCode>General</c:formatCode>
                <c:ptCount val="1"/>
                <c:pt idx="0">
                  <c:v>-1.4848750863480864E-2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2011-2012.xlsx]Табл.6'!$E$11</c:f>
              <c:numCache>
                <c:formatCode>General</c:formatCode>
                <c:ptCount val="1"/>
                <c:pt idx="0">
                  <c:v>0.10427119846407529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'C:\Users\Жанна\Desktop\п.16 Премиум анализ ВЭД\[Динамика импорта ЖЕЛАТИН 2011-2012.xlsx]Табл.6'!$C$12</c:f>
              <c:strCache>
                <c:ptCount val="1"/>
                <c:pt idx="0">
                  <c:v>ООО БРЕННТАГ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2011-2012.xlsx]Табл.6'!$E$12</c:f>
              <c:numCache>
                <c:formatCode>General</c:formatCode>
                <c:ptCount val="1"/>
                <c:pt idx="0">
                  <c:v>9.4424972458930584E-2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2011-2012.xlsx]Табл.6'!$H$12</c:f>
              <c:numCache>
                <c:formatCode>General</c:formatCode>
                <c:ptCount val="1"/>
                <c:pt idx="0">
                  <c:v>1.3148979741246083E-2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2011-2012.xlsx]Табл.6'!$E$12</c:f>
              <c:numCache>
                <c:formatCode>General</c:formatCode>
                <c:ptCount val="1"/>
                <c:pt idx="0">
                  <c:v>9.4424972458930584E-2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'C:\Users\Жанна\Desktop\п.16 Премиум анализ ВЭД\[Динамика импорта ЖЕЛАТИН 2011-2012.xlsx]Табл.6'!$C$13</c:f>
              <c:strCache>
                <c:ptCount val="1"/>
                <c:pt idx="0">
                  <c:v>ООО НЕОС ИНГРЕДИЕНТС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2011-2012.xlsx]Табл.6'!$E$13</c:f>
              <c:numCache>
                <c:formatCode>General</c:formatCode>
                <c:ptCount val="1"/>
                <c:pt idx="0">
                  <c:v>4.9616740046196164E-2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2011-2012.xlsx]Табл.6'!$H$13</c:f>
              <c:numCache>
                <c:formatCode>General</c:formatCode>
                <c:ptCount val="1"/>
                <c:pt idx="0">
                  <c:v>2.4504181284543413E-2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2011-2012.xlsx]Табл.6'!$E$13</c:f>
              <c:numCache>
                <c:formatCode>General</c:formatCode>
                <c:ptCount val="1"/>
                <c:pt idx="0">
                  <c:v>4.9616740046196164E-2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'C:\Users\Жанна\Desktop\п.16 Премиум анализ ВЭД\[Динамика импорта ЖЕЛАТИН 2011-2012.xlsx]Табл.6'!$C$14</c:f>
              <c:strCache>
                <c:ptCount val="1"/>
                <c:pt idx="0">
                  <c:v>ООО МЕЛИТ</c:v>
                </c:pt>
              </c:strCache>
            </c:strRef>
          </c:tx>
          <c:invertIfNegative val="0"/>
          <c:xVal>
            <c:numRef>
              <c:f>'C:\Users\Жанна\Desktop\п.16 Премиум анализ ВЭД\[Динамика импорта ЖЕЛАТИН 2011-2012.xlsx]Табл.6'!$E$14</c:f>
              <c:numCache>
                <c:formatCode>General</c:formatCode>
                <c:ptCount val="1"/>
                <c:pt idx="0">
                  <c:v>4.3803162682203869E-2</c:v>
                </c:pt>
              </c:numCache>
            </c:numRef>
          </c:xVal>
          <c:yVal>
            <c:numRef>
              <c:f>'C:\Users\Жанна\Desktop\п.16 Премиум анализ ВЭД\[Динамика импорта ЖЕЛАТИН 2011-2012.xlsx]Табл.6'!$H$14</c:f>
              <c:numCache>
                <c:formatCode>General</c:formatCode>
                <c:ptCount val="1"/>
                <c:pt idx="0">
                  <c:v>5.9297476175294989E-3</c:v>
                </c:pt>
              </c:numCache>
            </c:numRef>
          </c:yVal>
          <c:bubbleSize>
            <c:numRef>
              <c:f>'C:\Users\Жанна\Desktop\п.16 Премиум анализ ВЭД\[Динамика импорта ЖЕЛАТИН 2011-2012.xlsx]Табл.6'!$E$14</c:f>
              <c:numCache>
                <c:formatCode>General</c:formatCode>
                <c:ptCount val="1"/>
                <c:pt idx="0">
                  <c:v>4.3803162682203869E-2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39821440"/>
        <c:axId val="139823360"/>
      </c:bubbleChart>
      <c:valAx>
        <c:axId val="13982144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Доля на рынке, %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%" sourceLinked="0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9823360"/>
        <c:crosses val="autoZero"/>
        <c:crossBetween val="midCat"/>
      </c:valAx>
      <c:valAx>
        <c:axId val="1398233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Прирост доли к предыдущему периоду, %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%" sourceLinked="0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9821440"/>
        <c:crosses val="autoZero"/>
        <c:crossBetween val="midCat"/>
      </c:valAx>
      <c:spPr>
        <a:solidFill>
          <a:srgbClr val="DDE7F3"/>
        </a:solidFill>
      </c:spPr>
    </c:plotArea>
    <c:legend>
      <c:legendPos val="r"/>
      <c:layout>
        <c:manualLayout>
          <c:xMode val="edge"/>
          <c:yMode val="edge"/>
          <c:x val="0.76406619385342789"/>
          <c:y val="0.20762368207623683"/>
          <c:w val="0.22695035460992907"/>
          <c:h val="0.71370640713706412"/>
        </c:manualLayout>
      </c:layout>
      <c:overlay val="0"/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vvs-05\&#1056;&#1072;&#1073;&#1086;&#1095;&#1080;&#1081;%20&#1089;&#1090;&#1086;&#1083;\&#1053;&#1086;&#1074;&#1099;&#1081;%20&#1084;&#1072;&#1082;&#1088;&#1086;&#1089;\vvs_logo.jpg" TargetMode="External"/><Relationship Id="rId1" Type="http://schemas.openxmlformats.org/officeDocument/2006/relationships/image" Target="../media/image4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0.00536</cdr:x>
      <cdr:y>0.00799</cdr:y>
    </cdr:from>
    <cdr:to>
      <cdr:x>0.13381</cdr:x>
      <cdr:y>0.11763</cdr:y>
    </cdr:to>
    <cdr:pic>
      <cdr:nvPicPr>
        <cdr:cNvPr id="2" name="Рисунок 1"/>
        <cdr:cNvPicPr>
          <a:picLocks xmlns:a="http://schemas.openxmlformats.org/drawingml/2006/main"/>
        </cdr:cNvPicPr>
      </cdr:nvPicPr>
      <cdr:blipFill>
        <a:blip xmlns:a="http://schemas.openxmlformats.org/drawingml/2006/main" xmlns:r="http://schemas.openxmlformats.org/officeDocument/2006/relationships" r:embed="rId1" r:link="rId2">
          <a:extLst/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738" y="32420"/>
          <a:ext cx="1156588" cy="444887"/>
        </a:xfrm>
        <a:prstGeom xmlns:a="http://schemas.openxmlformats.org/drawingml/2006/main" prst="rect">
          <a:avLst/>
        </a:prstGeom>
      </cdr:spPr>
    </cdr:pic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per">
    <a:dk1>
      <a:sysClr val="windowText" lastClr="000000"/>
    </a:dk1>
    <a:lt1>
      <a:sysClr val="window" lastClr="FFFFFF"/>
    </a:lt1>
    <a:dk2>
      <a:srgbClr val="444D26"/>
    </a:dk2>
    <a:lt2>
      <a:srgbClr val="FEFAC9"/>
    </a:lt2>
    <a:accent1>
      <a:srgbClr val="A5B592"/>
    </a:accent1>
    <a:accent2>
      <a:srgbClr val="F3A447"/>
    </a:accent2>
    <a:accent3>
      <a:srgbClr val="E7BC29"/>
    </a:accent3>
    <a:accent4>
      <a:srgbClr val="D092A7"/>
    </a:accent4>
    <a:accent5>
      <a:srgbClr val="9C85C0"/>
    </a:accent5>
    <a:accent6>
      <a:srgbClr val="809EC2"/>
    </a:accent6>
    <a:hlink>
      <a:srgbClr val="8E58B6"/>
    </a:hlink>
    <a:folHlink>
      <a:srgbClr val="7F6F6F"/>
    </a:folHlink>
  </a:clrScheme>
  <a:fontScheme name="Paper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Paper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Игорь</cp:lastModifiedBy>
  <cp:revision>2</cp:revision>
  <dcterms:created xsi:type="dcterms:W3CDTF">2013-11-09T17:47:00Z</dcterms:created>
  <dcterms:modified xsi:type="dcterms:W3CDTF">2013-11-09T17:47:00Z</dcterms:modified>
</cp:coreProperties>
</file>