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867" w:rsidRPr="00CD3867" w:rsidRDefault="00CD3867" w:rsidP="00CD3867">
      <w:pPr>
        <w:pStyle w:val="a6"/>
        <w:shd w:val="clear" w:color="auto" w:fill="FFFFFF"/>
        <w:jc w:val="center"/>
        <w:rPr>
          <w:rFonts w:ascii="Arial" w:hAnsi="Arial" w:cs="Arial"/>
          <w:i/>
          <w:iCs/>
          <w:color w:val="000000"/>
        </w:rPr>
      </w:pPr>
      <w:bookmarkStart w:id="0" w:name="_GoBack"/>
      <w:bookmarkEnd w:id="0"/>
      <w:r w:rsidRPr="00CD3867">
        <w:rPr>
          <w:rStyle w:val="a7"/>
          <w:rFonts w:ascii="Arial" w:hAnsi="Arial" w:cs="Arial"/>
          <w:i/>
          <w:iCs/>
          <w:color w:val="1E90FF"/>
        </w:rPr>
        <w:t>Добрый день, уважаемые коллеги!</w:t>
      </w:r>
    </w:p>
    <w:p w:rsidR="00CD3867" w:rsidRPr="00CD3867" w:rsidRDefault="00CD3867" w:rsidP="00CD3867">
      <w:pPr>
        <w:contextualSpacing/>
        <w:rPr>
          <w:rFonts w:ascii="Arial" w:hAnsi="Arial" w:cs="Arial"/>
          <w:i/>
          <w:sz w:val="24"/>
          <w:szCs w:val="24"/>
        </w:rPr>
      </w:pPr>
    </w:p>
    <w:p w:rsidR="00CD3867" w:rsidRPr="00CD3867" w:rsidRDefault="00CD3867" w:rsidP="00CD3867">
      <w:pPr>
        <w:contextualSpacing/>
        <w:jc w:val="center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>Глава 9</w:t>
      </w:r>
    </w:p>
    <w:p w:rsidR="00CD3867" w:rsidRPr="00CD3867" w:rsidRDefault="00CD3867" w:rsidP="00CD3867">
      <w:pPr>
        <w:contextualSpacing/>
        <w:jc w:val="center"/>
        <w:rPr>
          <w:rFonts w:ascii="Arial" w:hAnsi="Arial" w:cs="Arial"/>
          <w:b/>
          <w:i/>
          <w:sz w:val="24"/>
          <w:szCs w:val="24"/>
        </w:rPr>
      </w:pPr>
    </w:p>
    <w:p w:rsidR="00CD3867" w:rsidRPr="00CD3867" w:rsidRDefault="00CD3867" w:rsidP="00CD3867">
      <w:pPr>
        <w:contextualSpacing/>
        <w:jc w:val="center"/>
        <w:rPr>
          <w:rFonts w:ascii="Arial" w:hAnsi="Arial" w:cs="Arial"/>
          <w:b/>
          <w:i/>
          <w:sz w:val="24"/>
          <w:szCs w:val="24"/>
        </w:rPr>
      </w:pPr>
      <w:r w:rsidRPr="00CD3867">
        <w:rPr>
          <w:rFonts w:ascii="Arial" w:hAnsi="Arial" w:cs="Arial"/>
          <w:b/>
          <w:i/>
          <w:sz w:val="24"/>
          <w:szCs w:val="24"/>
        </w:rPr>
        <w:t>Составляем отчёт по ВЭД</w:t>
      </w:r>
    </w:p>
    <w:p w:rsidR="00CD3867" w:rsidRPr="00CD3867" w:rsidRDefault="00CD3867" w:rsidP="00CD3867">
      <w:pPr>
        <w:contextualSpacing/>
        <w:rPr>
          <w:rFonts w:ascii="Arial" w:hAnsi="Arial" w:cs="Arial"/>
          <w:i/>
          <w:sz w:val="24"/>
          <w:szCs w:val="24"/>
        </w:rPr>
      </w:pPr>
    </w:p>
    <w:p w:rsidR="00CD3867" w:rsidRPr="00CD3867" w:rsidRDefault="00CD3867" w:rsidP="00CD3867">
      <w:pPr>
        <w:contextualSpacing/>
        <w:rPr>
          <w:rFonts w:ascii="Arial" w:hAnsi="Arial" w:cs="Arial"/>
          <w:i/>
          <w:sz w:val="24"/>
          <w:szCs w:val="24"/>
        </w:rPr>
      </w:pPr>
    </w:p>
    <w:p w:rsidR="00CD3867" w:rsidRPr="00CD3867" w:rsidRDefault="00CD3867" w:rsidP="00CD3867">
      <w:pPr>
        <w:contextualSpacing/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>Итак:</w:t>
      </w:r>
    </w:p>
    <w:p w:rsidR="00CD3867" w:rsidRPr="00CD3867" w:rsidRDefault="00CD3867" w:rsidP="00CD3867">
      <w:pPr>
        <w:pStyle w:val="a3"/>
        <w:numPr>
          <w:ilvl w:val="0"/>
          <w:numId w:val="1"/>
        </w:num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 xml:space="preserve">мы пробежались по основным и вспомогательным параметрам таможенной статистики; </w:t>
      </w:r>
    </w:p>
    <w:p w:rsidR="00CD3867" w:rsidRPr="00CD3867" w:rsidRDefault="00CD3867" w:rsidP="00CD3867">
      <w:pPr>
        <w:pStyle w:val="a3"/>
        <w:numPr>
          <w:ilvl w:val="0"/>
          <w:numId w:val="1"/>
        </w:num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 xml:space="preserve">разобрали, как и какие рейтинги участников торговли можно составить; </w:t>
      </w:r>
    </w:p>
    <w:p w:rsidR="00CD3867" w:rsidRPr="00CD3867" w:rsidRDefault="00CD3867" w:rsidP="00CD3867">
      <w:pPr>
        <w:pStyle w:val="a3"/>
        <w:numPr>
          <w:ilvl w:val="0"/>
          <w:numId w:val="1"/>
        </w:num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>рассмотрели, какие дополнительные параметры существуют у поставок;</w:t>
      </w:r>
    </w:p>
    <w:p w:rsidR="00CD3867" w:rsidRPr="00CD3867" w:rsidRDefault="00CD3867" w:rsidP="00CD3867">
      <w:p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>пора рассмотреть структуру типового отчёта.</w:t>
      </w:r>
    </w:p>
    <w:p w:rsidR="00CD3867" w:rsidRPr="00CD3867" w:rsidRDefault="00CD3867" w:rsidP="00CD3867">
      <w:p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>Результатом статистического анализа являются таблицы и графики. Однако краткая аналитическая справка, в которой сведены главные итоговые цифры из отчёта,  будет очень уместна в начале анализа.</w:t>
      </w:r>
    </w:p>
    <w:p w:rsidR="00CD3867" w:rsidRPr="00CD3867" w:rsidRDefault="00CD3867" w:rsidP="00CD3867">
      <w:p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>Давайте посмотрим, из каких типовых разделов состоит отчёт за любой фиксированный период времени (месяц, квартал, год, три года) и дадим пояснения по полезности разделов.</w:t>
      </w:r>
    </w:p>
    <w:p w:rsidR="00CD3867" w:rsidRPr="00CD3867" w:rsidRDefault="00CD3867" w:rsidP="00CD3867">
      <w:pPr>
        <w:jc w:val="both"/>
        <w:rPr>
          <w:rFonts w:ascii="Arial" w:hAnsi="Arial" w:cs="Arial"/>
          <w:b/>
          <w:i/>
          <w:sz w:val="24"/>
          <w:szCs w:val="24"/>
        </w:rPr>
      </w:pPr>
      <w:r w:rsidRPr="00CD3867">
        <w:rPr>
          <w:rFonts w:ascii="Arial" w:hAnsi="Arial" w:cs="Arial"/>
          <w:b/>
          <w:i/>
          <w:sz w:val="24"/>
          <w:szCs w:val="24"/>
        </w:rPr>
        <w:t xml:space="preserve">СОДЕРЖАНИЕ ТИПОВОГО ОТЧЁТА </w:t>
      </w:r>
    </w:p>
    <w:p w:rsidR="00CD3867" w:rsidRPr="00CD3867" w:rsidRDefault="00CD3867" w:rsidP="00CD3867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i/>
          <w:sz w:val="24"/>
          <w:szCs w:val="24"/>
        </w:rPr>
      </w:pPr>
      <w:r w:rsidRPr="00CD3867">
        <w:rPr>
          <w:rFonts w:ascii="Arial" w:hAnsi="Arial" w:cs="Arial"/>
          <w:b/>
          <w:i/>
          <w:sz w:val="24"/>
          <w:szCs w:val="24"/>
        </w:rPr>
        <w:t xml:space="preserve">Аналитическая справка о состоянии рынка </w:t>
      </w:r>
    </w:p>
    <w:p w:rsidR="00CD3867" w:rsidRPr="00CD3867" w:rsidRDefault="00CD3867" w:rsidP="00CD3867">
      <w:p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>Краткое изложение рыночной ситуации со ссылкой на ключевые показатели, полученные в ходе анализа (объём торговли, охват по странам и регионам, общее количество участников и степень концентрации, лидеры). Сразу, с первой страницы отчёта, становится ясно, каков объём рынка и насколько он «</w:t>
      </w:r>
      <w:proofErr w:type="spellStart"/>
      <w:r w:rsidRPr="00CD3867">
        <w:rPr>
          <w:rFonts w:ascii="Arial" w:hAnsi="Arial" w:cs="Arial"/>
          <w:i/>
          <w:sz w:val="24"/>
          <w:szCs w:val="24"/>
        </w:rPr>
        <w:t>монополен</w:t>
      </w:r>
      <w:proofErr w:type="spellEnd"/>
      <w:r w:rsidRPr="00CD3867">
        <w:rPr>
          <w:rFonts w:ascii="Arial" w:hAnsi="Arial" w:cs="Arial"/>
          <w:i/>
          <w:sz w:val="24"/>
          <w:szCs w:val="24"/>
        </w:rPr>
        <w:t>».</w:t>
      </w:r>
    </w:p>
    <w:p w:rsidR="00CD3867" w:rsidRPr="00CD3867" w:rsidRDefault="00CD3867" w:rsidP="00CD3867">
      <w:pPr>
        <w:pStyle w:val="a3"/>
        <w:numPr>
          <w:ilvl w:val="0"/>
          <w:numId w:val="2"/>
        </w:numPr>
        <w:rPr>
          <w:rFonts w:ascii="Arial" w:hAnsi="Arial" w:cs="Arial"/>
          <w:b/>
          <w:i/>
          <w:sz w:val="24"/>
          <w:szCs w:val="24"/>
        </w:rPr>
      </w:pPr>
      <w:r w:rsidRPr="00CD3867">
        <w:rPr>
          <w:rFonts w:ascii="Arial" w:hAnsi="Arial" w:cs="Arial"/>
          <w:b/>
          <w:i/>
          <w:sz w:val="24"/>
          <w:szCs w:val="24"/>
        </w:rPr>
        <w:t xml:space="preserve">Рейтинги поставщиков, покупателей и производителей по объёму импорта/экспорта  </w:t>
      </w:r>
    </w:p>
    <w:p w:rsidR="00CD3867" w:rsidRPr="00CD3867" w:rsidRDefault="00CD3867" w:rsidP="00CD3867">
      <w:p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 xml:space="preserve">По каждой нише (товару) можно сформировать три отдельные группы участников рынка в соответствие с их функцией в сделке купли-продажи: поставщики, покупатели и производители. Их рейтинги выстраиваем по убыванию объёмов торговли. Интересен объём как в денежном, так и в натуральном выражении. Также указываем доли рынка.  </w:t>
      </w:r>
    </w:p>
    <w:p w:rsidR="00CD3867" w:rsidRPr="00CD3867" w:rsidRDefault="00CD3867" w:rsidP="00CD3867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i/>
          <w:sz w:val="24"/>
          <w:szCs w:val="24"/>
        </w:rPr>
      </w:pPr>
      <w:r w:rsidRPr="00CD3867">
        <w:rPr>
          <w:rFonts w:ascii="Arial" w:hAnsi="Arial" w:cs="Arial"/>
          <w:b/>
          <w:i/>
          <w:sz w:val="24"/>
          <w:szCs w:val="24"/>
        </w:rPr>
        <w:t>Диаграммы долей ведущих поставщиков, покупателей и производителей</w:t>
      </w:r>
    </w:p>
    <w:p w:rsidR="00CD3867" w:rsidRPr="00CD3867" w:rsidRDefault="00CD3867" w:rsidP="00CD3867">
      <w:p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lastRenderedPageBreak/>
        <w:t xml:space="preserve">Три круговые диаграммы (по ведущим поставщикам, по ведущим покупателям и по основным производителям). Полезны тем, что в них наглядно выделяются доли ведущей семёрки участников. </w:t>
      </w:r>
    </w:p>
    <w:p w:rsidR="00CD3867" w:rsidRPr="00CD3867" w:rsidRDefault="00CD3867" w:rsidP="00CD3867">
      <w:pPr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noProof/>
          <w:sz w:val="24"/>
          <w:szCs w:val="24"/>
          <w:lang w:eastAsia="ru-RU"/>
        </w:rPr>
        <w:drawing>
          <wp:inline distT="0" distB="0" distL="0" distR="0" wp14:anchorId="6A3B8710" wp14:editId="08B95C43">
            <wp:extent cx="5622878" cy="2361063"/>
            <wp:effectExtent l="57150" t="38100" r="130810" b="13462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D3867" w:rsidRPr="00CD3867" w:rsidRDefault="00CD3867" w:rsidP="00CD3867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i/>
          <w:sz w:val="24"/>
          <w:szCs w:val="24"/>
        </w:rPr>
      </w:pPr>
      <w:r w:rsidRPr="00CD3867">
        <w:rPr>
          <w:rFonts w:ascii="Arial" w:hAnsi="Arial" w:cs="Arial"/>
          <w:b/>
          <w:i/>
          <w:sz w:val="24"/>
          <w:szCs w:val="24"/>
        </w:rPr>
        <w:t>Рейтинг регионов-потребителей (в случае импорта) или регионов-поставщиков (в случае экспорта)</w:t>
      </w:r>
    </w:p>
    <w:p w:rsidR="00CD3867" w:rsidRPr="00CD3867" w:rsidRDefault="00CD3867" w:rsidP="00CD3867">
      <w:pPr>
        <w:jc w:val="both"/>
        <w:rPr>
          <w:rFonts w:ascii="Arial" w:hAnsi="Arial" w:cs="Arial"/>
          <w:b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>Список российских регионов, в которые (из которых) осуществляются прямые поставки товара. Рейтинг выстраивается по убыванию объёмов поставок и даёт понимание, какие регионы являются ведущими покупателями или поставщиками. Из своей личной практики отмечу, что в 80% случаев импорта – это Москва.</w:t>
      </w:r>
    </w:p>
    <w:p w:rsidR="00CD3867" w:rsidRPr="00CD3867" w:rsidRDefault="00CD3867" w:rsidP="00CD3867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i/>
          <w:sz w:val="24"/>
          <w:szCs w:val="24"/>
        </w:rPr>
      </w:pPr>
      <w:r w:rsidRPr="00CD3867">
        <w:rPr>
          <w:rFonts w:ascii="Arial" w:hAnsi="Arial" w:cs="Arial"/>
          <w:b/>
          <w:i/>
          <w:sz w:val="24"/>
          <w:szCs w:val="24"/>
        </w:rPr>
        <w:t>Диаграмма долей ведущих регионо</w:t>
      </w:r>
      <w:proofErr w:type="gramStart"/>
      <w:r w:rsidRPr="00CD3867">
        <w:rPr>
          <w:rFonts w:ascii="Arial" w:hAnsi="Arial" w:cs="Arial"/>
          <w:b/>
          <w:i/>
          <w:sz w:val="24"/>
          <w:szCs w:val="24"/>
        </w:rPr>
        <w:t>в-</w:t>
      </w:r>
      <w:proofErr w:type="gramEnd"/>
      <w:r w:rsidRPr="00CD3867">
        <w:rPr>
          <w:rFonts w:ascii="Arial" w:hAnsi="Arial" w:cs="Arial"/>
          <w:b/>
          <w:i/>
          <w:sz w:val="24"/>
          <w:szCs w:val="24"/>
        </w:rPr>
        <w:t xml:space="preserve"> потребителей (в случае импорта) или регионов-поставщиков (в случае экспорта)</w:t>
      </w:r>
    </w:p>
    <w:p w:rsidR="00CD3867" w:rsidRPr="00CD3867" w:rsidRDefault="00CD3867" w:rsidP="00CD3867">
      <w:p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 xml:space="preserve">Круговые диаграммы, выделяющие доли ведущей семёрки регионов-получателей или отправителей. </w:t>
      </w:r>
    </w:p>
    <w:p w:rsidR="00CD3867" w:rsidRPr="00CD3867" w:rsidRDefault="00CD3867" w:rsidP="00CD3867">
      <w:pPr>
        <w:pStyle w:val="a3"/>
        <w:numPr>
          <w:ilvl w:val="0"/>
          <w:numId w:val="2"/>
        </w:numPr>
        <w:jc w:val="both"/>
        <w:rPr>
          <w:rFonts w:ascii="Arial" w:hAnsi="Arial" w:cs="Arial"/>
          <w:b/>
          <w:i/>
          <w:sz w:val="24"/>
          <w:szCs w:val="24"/>
        </w:rPr>
      </w:pPr>
      <w:r w:rsidRPr="00CD3867">
        <w:rPr>
          <w:rFonts w:ascii="Arial" w:hAnsi="Arial" w:cs="Arial"/>
          <w:b/>
          <w:i/>
          <w:sz w:val="24"/>
          <w:szCs w:val="24"/>
        </w:rPr>
        <w:t>Аналитическая таблица внешнеторговых операций</w:t>
      </w:r>
    </w:p>
    <w:p w:rsidR="00CD3867" w:rsidRPr="00CD3867" w:rsidRDefault="00CD3867" w:rsidP="00CD3867">
      <w:p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 xml:space="preserve">Самая основная таблица отчёта, содержащая максимум полезной информации. </w:t>
      </w:r>
      <w:proofErr w:type="gramStart"/>
      <w:r w:rsidRPr="00CD3867">
        <w:rPr>
          <w:rFonts w:ascii="Arial" w:hAnsi="Arial" w:cs="Arial"/>
          <w:i/>
          <w:sz w:val="24"/>
          <w:szCs w:val="24"/>
        </w:rPr>
        <w:t>В ней по каждому участнику рынка (обычно – по российскому) сгруппированы торговые операции в объёмах как минимум 10-ти основных рыночных показателях (10 колонок).</w:t>
      </w:r>
      <w:proofErr w:type="gramEnd"/>
      <w:r w:rsidRPr="00CD3867">
        <w:rPr>
          <w:rFonts w:ascii="Arial" w:hAnsi="Arial" w:cs="Arial"/>
          <w:i/>
          <w:sz w:val="24"/>
          <w:szCs w:val="24"/>
        </w:rPr>
        <w:t xml:space="preserve"> Если в товарной нише есть возможность выделить в описании товаров полезные  характеристики или параметры, то в этой таблице возникают дополнительные колонки. Формат выполнения отчёта становится нестандартным, и это обязательно оговаривается с  исполнителем на этапе согласования заказа.  </w:t>
      </w:r>
    </w:p>
    <w:p w:rsidR="00CD3867" w:rsidRPr="00CD3867" w:rsidRDefault="00CD3867" w:rsidP="00CD3867">
      <w:pPr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 xml:space="preserve">Таблица выполнена в </w:t>
      </w:r>
      <w:r w:rsidRPr="00CD3867">
        <w:rPr>
          <w:rFonts w:ascii="Arial" w:hAnsi="Arial" w:cs="Arial"/>
          <w:i/>
          <w:sz w:val="24"/>
          <w:szCs w:val="24"/>
          <w:lang w:val="en-US"/>
        </w:rPr>
        <w:t>Excel</w:t>
      </w:r>
      <w:r w:rsidRPr="00CD3867">
        <w:rPr>
          <w:rFonts w:ascii="Arial" w:hAnsi="Arial" w:cs="Arial"/>
          <w:i/>
          <w:sz w:val="24"/>
          <w:szCs w:val="24"/>
        </w:rPr>
        <w:t xml:space="preserve">. Обычно с ней маркетологи зависают подолгу, выбирая по фильтру и анализируя  те или иные показатели.    </w:t>
      </w:r>
    </w:p>
    <w:p w:rsidR="00CD3867" w:rsidRPr="00CD3867" w:rsidRDefault="00CD3867" w:rsidP="00CD3867">
      <w:pPr>
        <w:pStyle w:val="a3"/>
        <w:numPr>
          <w:ilvl w:val="0"/>
          <w:numId w:val="2"/>
        </w:numPr>
        <w:rPr>
          <w:rFonts w:ascii="Arial" w:hAnsi="Arial" w:cs="Arial"/>
          <w:b/>
          <w:i/>
          <w:sz w:val="24"/>
          <w:szCs w:val="24"/>
        </w:rPr>
      </w:pPr>
      <w:r w:rsidRPr="00CD3867">
        <w:rPr>
          <w:rFonts w:ascii="Arial" w:hAnsi="Arial" w:cs="Arial"/>
          <w:b/>
          <w:i/>
          <w:sz w:val="24"/>
          <w:szCs w:val="24"/>
        </w:rPr>
        <w:t>Графики изменения импорта/экспорта в денежном выражении и в натуральном выражении</w:t>
      </w:r>
    </w:p>
    <w:p w:rsidR="00CD3867" w:rsidRPr="00CD3867" w:rsidRDefault="00CD3867" w:rsidP="00CD3867">
      <w:p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lastRenderedPageBreak/>
        <w:t>Два линейных графика. Один отображает динамику ввоза или вывоза товара в долларах США, другой – в натуральном выражении. В случае торговли транспортными средствами всегда больший интерес имеет график, выраженный в штуках. Как правило, графики строятся  с месячным шагом замера показателя.</w:t>
      </w:r>
    </w:p>
    <w:p w:rsidR="00CD3867" w:rsidRPr="00CD3867" w:rsidRDefault="00CD3867" w:rsidP="00CD3867">
      <w:pPr>
        <w:jc w:val="center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noProof/>
          <w:sz w:val="24"/>
          <w:szCs w:val="24"/>
          <w:lang w:eastAsia="ru-RU"/>
        </w:rPr>
        <w:drawing>
          <wp:inline distT="0" distB="0" distL="0" distR="0" wp14:anchorId="4A153BF3" wp14:editId="2BA9A94D">
            <wp:extent cx="5145206" cy="2647666"/>
            <wp:effectExtent l="38100" t="38100" r="93980" b="9588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D3867" w:rsidRPr="00CD3867" w:rsidRDefault="00CD3867" w:rsidP="00CD3867">
      <w:p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>Ну вот, отчёт готов. Пролистав его, становится быстро понятно, кто сегодня – лидер №1, какой товар - в наибольшем спросе (кто – лидер по производству), какие цены можно устанавливать, с кем ещё «</w:t>
      </w:r>
      <w:proofErr w:type="spellStart"/>
      <w:r w:rsidRPr="00CD3867">
        <w:rPr>
          <w:rFonts w:ascii="Arial" w:hAnsi="Arial" w:cs="Arial"/>
          <w:i/>
          <w:sz w:val="24"/>
          <w:szCs w:val="24"/>
        </w:rPr>
        <w:t>запартнёриться</w:t>
      </w:r>
      <w:proofErr w:type="spellEnd"/>
      <w:r w:rsidRPr="00CD3867">
        <w:rPr>
          <w:rFonts w:ascii="Arial" w:hAnsi="Arial" w:cs="Arial"/>
          <w:i/>
          <w:sz w:val="24"/>
          <w:szCs w:val="24"/>
        </w:rPr>
        <w:t xml:space="preserve">». </w:t>
      </w:r>
    </w:p>
    <w:p w:rsidR="00CD3867" w:rsidRPr="00CD3867" w:rsidRDefault="00CD3867" w:rsidP="00CD3867">
      <w:p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>Всё знаете, всё используете для своего продвижения. Когда теперь понадобится свежий отчёт? Как часто обновлять данные? Приведу примеры, когда, на мой взгляд, обновление желательно ежемесячное:</w:t>
      </w:r>
    </w:p>
    <w:p w:rsidR="00CD3867" w:rsidRPr="00CD3867" w:rsidRDefault="00CD3867" w:rsidP="00CD3867">
      <w:pPr>
        <w:pStyle w:val="a3"/>
        <w:numPr>
          <w:ilvl w:val="0"/>
          <w:numId w:val="3"/>
        </w:num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>Если очень высок уровень конкуренции. Лучше перестраховаться и за изменениями следить ежемесячно.</w:t>
      </w:r>
    </w:p>
    <w:p w:rsidR="00CD3867" w:rsidRPr="00CD3867" w:rsidRDefault="00CD3867" w:rsidP="00CD3867">
      <w:pPr>
        <w:pStyle w:val="a3"/>
        <w:numPr>
          <w:ilvl w:val="0"/>
          <w:numId w:val="3"/>
        </w:num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>Если цены часто скачут. Аналогичная рекомендация.</w:t>
      </w:r>
    </w:p>
    <w:p w:rsidR="00CD3867" w:rsidRPr="00CD3867" w:rsidRDefault="00CD3867" w:rsidP="00CD3867">
      <w:pPr>
        <w:pStyle w:val="a3"/>
        <w:numPr>
          <w:ilvl w:val="0"/>
          <w:numId w:val="3"/>
        </w:num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 xml:space="preserve">Если рынок вошел в кризис. Все связи рушатся, поставщики подводят, исчезают.    </w:t>
      </w:r>
    </w:p>
    <w:p w:rsidR="00CD3867" w:rsidRPr="00CD3867" w:rsidRDefault="00CD3867" w:rsidP="00CD3867">
      <w:p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>Допустим, прошло время, и вы обновили информацию. Всегда полезно знать, как изменились данные по сравнению с прошлым периодом. Но данных-то немало. Как сделать так, чтобы все изменения обнаружились очень быстро: взял – полистал – понял – действую? В этом могут помочь форматы отчётов. Как они должны выглядеть? Так, чтобы выводы сразу сделать?</w:t>
      </w:r>
    </w:p>
    <w:p w:rsidR="00CD3867" w:rsidRPr="00CD3867" w:rsidRDefault="00CD3867" w:rsidP="00CD3867">
      <w:pPr>
        <w:jc w:val="both"/>
        <w:rPr>
          <w:rFonts w:ascii="Arial" w:hAnsi="Arial" w:cs="Arial"/>
          <w:i/>
          <w:sz w:val="24"/>
          <w:szCs w:val="24"/>
        </w:rPr>
      </w:pPr>
      <w:r w:rsidRPr="00CD3867">
        <w:rPr>
          <w:rFonts w:ascii="Arial" w:hAnsi="Arial" w:cs="Arial"/>
          <w:i/>
          <w:sz w:val="24"/>
          <w:szCs w:val="24"/>
        </w:rPr>
        <w:t xml:space="preserve">Об этом – в следующей главе.  </w:t>
      </w:r>
    </w:p>
    <w:p w:rsidR="00CD3867" w:rsidRDefault="00CD3867" w:rsidP="00CD3867">
      <w:pPr>
        <w:shd w:val="clear" w:color="auto" w:fill="FFFFFF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noProof/>
          <w:color w:val="0000FF"/>
          <w:sz w:val="27"/>
          <w:szCs w:val="27"/>
          <w:lang w:eastAsia="ru-RU"/>
        </w:rPr>
        <w:drawing>
          <wp:inline distT="0" distB="0" distL="0" distR="0" wp14:anchorId="3819B09B" wp14:editId="4C98EC65">
            <wp:extent cx="4019550" cy="685800"/>
            <wp:effectExtent l="0" t="0" r="0" b="0"/>
            <wp:docPr id="5" name="Рисунок 5" descr="http://vvs-info.ru/msg/review/img/button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vs-info.ru/msg/review/img/button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867" w:rsidRDefault="00EA1371" w:rsidP="00CD3867">
      <w:pPr>
        <w:shd w:val="clear" w:color="auto" w:fill="FFFFFF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Fonts w:ascii="Arial" w:hAnsi="Arial" w:cs="Arial"/>
          <w:i/>
          <w:iCs/>
          <w:color w:val="000000"/>
          <w:sz w:val="27"/>
          <w:szCs w:val="27"/>
        </w:rPr>
        <w:lastRenderedPageBreak/>
        <w:pict>
          <v:rect id="_x0000_i1025" style="width:467.75pt;height:1.5pt" o:hralign="center" o:hrstd="t" o:hr="t" fillcolor="#a0a0a0" stroked="f"/>
        </w:pict>
      </w:r>
    </w:p>
    <w:p w:rsidR="00CD3867" w:rsidRDefault="00CD3867" w:rsidP="00CD3867">
      <w:pPr>
        <w:pStyle w:val="a6"/>
        <w:shd w:val="clear" w:color="auto" w:fill="FFFFFF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Style w:val="a7"/>
          <w:rFonts w:ascii="Arial" w:hAnsi="Arial" w:cs="Arial"/>
          <w:i/>
          <w:iCs/>
          <w:color w:val="1E90FF"/>
          <w:sz w:val="21"/>
          <w:szCs w:val="21"/>
        </w:rPr>
        <w:t>Держим связь,</w:t>
      </w:r>
    </w:p>
    <w:p w:rsidR="00CD3867" w:rsidRDefault="00CD3867" w:rsidP="00CD3867">
      <w:pPr>
        <w:pStyle w:val="a6"/>
        <w:shd w:val="clear" w:color="auto" w:fill="FFFFFF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rStyle w:val="a7"/>
          <w:rFonts w:ascii="Arial" w:hAnsi="Arial" w:cs="Arial"/>
          <w:i/>
          <w:iCs/>
          <w:color w:val="1E90FF"/>
          <w:sz w:val="21"/>
          <w:szCs w:val="21"/>
        </w:rPr>
        <w:t>Жанна Мартынова - основатель и руководитель "VVS"</w:t>
      </w:r>
    </w:p>
    <w:p w:rsidR="00CD3867" w:rsidRDefault="00EA1371" w:rsidP="00CD3867">
      <w:pPr>
        <w:pStyle w:val="a6"/>
        <w:shd w:val="clear" w:color="auto" w:fill="FFFFFF"/>
        <w:rPr>
          <w:rFonts w:ascii="Arial" w:hAnsi="Arial" w:cs="Arial"/>
          <w:i/>
          <w:iCs/>
          <w:color w:val="000000"/>
          <w:sz w:val="27"/>
          <w:szCs w:val="27"/>
        </w:rPr>
      </w:pPr>
      <w:hyperlink r:id="rId10" w:tgtFrame="_blank" w:history="1">
        <w:r w:rsidR="00CD3867">
          <w:rPr>
            <w:rStyle w:val="a8"/>
            <w:rFonts w:ascii="Arial" w:hAnsi="Arial" w:cs="Arial"/>
            <w:b/>
            <w:bCs/>
            <w:i/>
            <w:iCs/>
            <w:color w:val="1E90FF"/>
            <w:sz w:val="21"/>
            <w:szCs w:val="21"/>
          </w:rPr>
          <w:t>http://product-market.ru/</w:t>
        </w:r>
      </w:hyperlink>
      <w:r w:rsidR="00CD3867">
        <w:rPr>
          <w:rFonts w:ascii="Arial" w:hAnsi="Arial" w:cs="Arial"/>
          <w:i/>
          <w:iCs/>
          <w:color w:val="000000"/>
          <w:sz w:val="27"/>
          <w:szCs w:val="27"/>
        </w:rPr>
        <w:t>      </w:t>
      </w:r>
      <w:r w:rsidR="00CD3867">
        <w:rPr>
          <w:rStyle w:val="apple-converted-space"/>
          <w:rFonts w:ascii="Arial" w:hAnsi="Arial" w:cs="Arial"/>
          <w:i/>
          <w:iCs/>
          <w:color w:val="000000"/>
          <w:sz w:val="27"/>
          <w:szCs w:val="27"/>
        </w:rPr>
        <w:t> </w:t>
      </w:r>
    </w:p>
    <w:p w:rsidR="004E657C" w:rsidRPr="00CD3867" w:rsidRDefault="004E657C" w:rsidP="00CD3867">
      <w:pPr>
        <w:rPr>
          <w:rFonts w:ascii="Arial" w:hAnsi="Arial" w:cs="Arial"/>
          <w:i/>
          <w:sz w:val="28"/>
          <w:szCs w:val="28"/>
        </w:rPr>
      </w:pPr>
    </w:p>
    <w:sectPr w:rsidR="004E657C" w:rsidRPr="00CD38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252F9"/>
    <w:multiLevelType w:val="hybridMultilevel"/>
    <w:tmpl w:val="00E49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6D17DC"/>
    <w:multiLevelType w:val="hybridMultilevel"/>
    <w:tmpl w:val="112E6A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EDA2621"/>
    <w:multiLevelType w:val="hybridMultilevel"/>
    <w:tmpl w:val="F6E68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8A1B8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67"/>
    <w:rsid w:val="004E657C"/>
    <w:rsid w:val="00CD3867"/>
    <w:rsid w:val="00EA1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8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3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86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D3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D3867"/>
    <w:rPr>
      <w:b/>
      <w:bCs/>
    </w:rPr>
  </w:style>
  <w:style w:type="character" w:styleId="a8">
    <w:name w:val="Hyperlink"/>
    <w:basedOn w:val="a0"/>
    <w:uiPriority w:val="99"/>
    <w:unhideWhenUsed/>
    <w:rsid w:val="00CD386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D38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8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386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3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3867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D3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D3867"/>
    <w:rPr>
      <w:b/>
      <w:bCs/>
    </w:rPr>
  </w:style>
  <w:style w:type="character" w:styleId="a8">
    <w:name w:val="Hyperlink"/>
    <w:basedOn w:val="a0"/>
    <w:uiPriority w:val="99"/>
    <w:unhideWhenUsed/>
    <w:rsid w:val="00CD3867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D3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vs-info.ru/msg/review/" TargetMode="Externa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product-marke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 sz="1200">
                <a:latin typeface="Calibri" pitchFamily="34" charset="0"/>
              </a:rPr>
              <a:t>Доли ведущих производителей </a:t>
            </a:r>
          </a:p>
        </c:rich>
      </c:tx>
      <c:layout>
        <c:manualLayout>
          <c:xMode val="edge"/>
          <c:yMode val="edge"/>
          <c:x val="0.30691213011068441"/>
          <c:y val="0"/>
        </c:manualLayout>
      </c:layout>
      <c:overlay val="0"/>
      <c:spPr>
        <a:noFill/>
        <a:ln w="25400">
          <a:noFill/>
        </a:ln>
      </c:spPr>
    </c:title>
    <c:autoTitleDeleted val="0"/>
    <c:view3D>
      <c:rotX val="30"/>
      <c:rotY val="210"/>
      <c:rAngAx val="0"/>
      <c:perspective val="1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1666740072816552E-2"/>
          <c:y val="0.20807139559410909"/>
          <c:w val="0.51133702649937607"/>
          <c:h val="0.61394111642445981"/>
        </c:manualLayout>
      </c:layout>
      <c:pie3DChart>
        <c:varyColors val="1"/>
        <c:ser>
          <c:idx val="0"/>
          <c:order val="0"/>
          <c:spPr>
            <a:ln w="19050"/>
            <a:effectLst>
              <a:outerShdw blurRad="114300" dist="368300" dir="6900000" sx="101000" sy="101000" rotWithShape="0">
                <a:prstClr val="black">
                  <a:alpha val="22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6502400" h="6502400"/>
              <a:bevelB w="6502400" h="6502400"/>
              <a:contourClr>
                <a:srgbClr val="000000"/>
              </a:contourClr>
            </a:sp3d>
          </c:spPr>
          <c:explosion val="10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Lbls>
            <c:dLbl>
              <c:idx val="0"/>
              <c:layout>
                <c:manualLayout>
                  <c:x val="1.7829567667267253E-2"/>
                  <c:y val="-1.82728839906308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2.97140160605293E-2"/>
                  <c:y val="3.8745883443149748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3.5567443738046232E-2"/>
                  <c:y val="1.0835091842297282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4.6845806376711825E-2"/>
                  <c:y val="-4.477028847197308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1.9856975303055868E-2"/>
                  <c:y val="-6.2899103964388385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1.1768158526152156E-2"/>
                  <c:y val="-7.10919002257584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-2.1297022460490148E-2"/>
                  <c:y val="-3.853366536775572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#0.00%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</c:dLbls>
          <c:cat>
            <c:strRef>
              <c:f>'Таблица 3'!$AA$5:$AA$12</c:f>
              <c:strCache>
                <c:ptCount val="8"/>
                <c:pt idx="0">
                  <c:v>ITALGELATINE S.P.A (19,36%)</c:v>
                </c:pt>
                <c:pt idx="1">
                  <c:v>GELITA AG (17,41%)</c:v>
                </c:pt>
                <c:pt idx="2">
                  <c:v>ROUSSELOT (12,48%)</c:v>
                </c:pt>
                <c:pt idx="3">
                  <c:v>WEISHARDT INTERNATIONAL (11,12%)</c:v>
                </c:pt>
                <c:pt idx="4">
                  <c:v>PB GELATINS (8,87%)</c:v>
                </c:pt>
                <c:pt idx="5">
                  <c:v>QINGDAO PRESTIGE TRADE CO., LTD (5,71%)</c:v>
                </c:pt>
                <c:pt idx="6">
                  <c:v>EWALD-GELATINE GMBH (4,92%)</c:v>
                </c:pt>
                <c:pt idx="7">
                  <c:v>ПРОЧИЕ</c:v>
                </c:pt>
              </c:strCache>
            </c:strRef>
          </c:cat>
          <c:val>
            <c:numRef>
              <c:f>'Таблица 3'!$AB$5:$AB$12</c:f>
              <c:numCache>
                <c:formatCode>General</c:formatCode>
                <c:ptCount val="8"/>
                <c:pt idx="0">
                  <c:v>8842440.6300000008</c:v>
                </c:pt>
                <c:pt idx="1">
                  <c:v>7949557.6399999997</c:v>
                </c:pt>
                <c:pt idx="2">
                  <c:v>5700329.3300000001</c:v>
                </c:pt>
                <c:pt idx="3">
                  <c:v>5077576.88</c:v>
                </c:pt>
                <c:pt idx="4">
                  <c:v>4049569.25</c:v>
                </c:pt>
                <c:pt idx="5">
                  <c:v>2609742.15</c:v>
                </c:pt>
                <c:pt idx="6">
                  <c:v>2246951.1</c:v>
                </c:pt>
                <c:pt idx="7">
                  <c:v>9197570.4700000007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58116459267867027"/>
          <c:y val="0.20269200316706254"/>
          <c:w val="0.41619134069367336"/>
          <c:h val="0.69675376088677754"/>
        </c:manualLayout>
      </c:layout>
      <c:overlay val="0"/>
      <c:txPr>
        <a:bodyPr/>
        <a:lstStyle/>
        <a:p>
          <a:pPr>
            <a:defRPr sz="775" b="1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ru-RU"/>
        </a:p>
      </c:txPr>
    </c:legend>
    <c:plotVisOnly val="1"/>
    <c:dispBlanksAs val="gap"/>
    <c:showDLblsOverMax val="0"/>
  </c:chart>
  <c:spPr>
    <a:ln w="12700">
      <a:solidFill>
        <a:schemeClr val="tx1">
          <a:alpha val="36000"/>
        </a:schemeClr>
      </a:solidFill>
    </a:ln>
    <a:effectLst>
      <a:outerShdw blurRad="50800" dist="50800" dir="2700000" algn="ctr" rotWithShape="0">
        <a:sysClr val="windowText" lastClr="000000"/>
      </a:outerShdw>
    </a:effectLst>
    <a:scene3d>
      <a:camera prst="orthographicFront"/>
      <a:lightRig rig="threePt" dir="t"/>
    </a:scene3d>
    <a:sp3d prstMaterial="powder"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onstantia"/>
          <a:ea typeface="Constantia"/>
          <a:cs typeface="Constantia"/>
        </a:defRPr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 sz="1200">
                <a:latin typeface="+mn-lt"/>
              </a:rPr>
              <a:t>Динамика импорта в денежном выражении (в $ США)</a:t>
            </a:r>
          </a:p>
        </c:rich>
      </c:tx>
      <c:layout>
        <c:manualLayout>
          <c:xMode val="edge"/>
          <c:yMode val="edge"/>
          <c:x val="0.18861250298258173"/>
          <c:y val="2.0151133501259445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accent1">
            <a:lumMod val="20000"/>
            <a:lumOff val="80000"/>
          </a:schemeClr>
        </a:solidFill>
      </c:spPr>
    </c:floor>
    <c:sideWall>
      <c:thickness val="0"/>
      <c:spPr>
        <a:solidFill>
          <a:schemeClr val="accent1">
            <a:lumMod val="20000"/>
            <a:lumOff val="80000"/>
          </a:schemeClr>
        </a:solidFill>
      </c:spPr>
    </c:sideWall>
    <c:backWall>
      <c:thickness val="0"/>
      <c:spPr>
        <a:solidFill>
          <a:schemeClr val="accent1">
            <a:lumMod val="20000"/>
            <a:lumOff val="80000"/>
          </a:schemeClr>
        </a:solidFill>
      </c:spPr>
    </c:backWall>
    <c:plotArea>
      <c:layout>
        <c:manualLayout>
          <c:layoutTarget val="inner"/>
          <c:xMode val="edge"/>
          <c:yMode val="edge"/>
          <c:x val="0.1008822326291111"/>
          <c:y val="0.19557151073999882"/>
          <c:w val="0.89190886842208461"/>
          <c:h val="0.71581744977091966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numFmt formatCode="#\ ##0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+mn-lt"/>
                    <a:ea typeface="Arial"/>
                    <a:cs typeface="Arial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ForNotes!$I$3:$I$26</c:f>
              <c:strCache>
                <c:ptCount val="24"/>
                <c:pt idx="0">
                  <c:v>Январь 2011</c:v>
                </c:pt>
                <c:pt idx="1">
                  <c:v>Февраль 2011</c:v>
                </c:pt>
                <c:pt idx="2">
                  <c:v>Март 2011</c:v>
                </c:pt>
                <c:pt idx="3">
                  <c:v>Апрель 2011</c:v>
                </c:pt>
                <c:pt idx="4">
                  <c:v>Май 2011</c:v>
                </c:pt>
                <c:pt idx="5">
                  <c:v>Июнь 2011</c:v>
                </c:pt>
                <c:pt idx="6">
                  <c:v>Июль 2011</c:v>
                </c:pt>
                <c:pt idx="7">
                  <c:v>Август 2011</c:v>
                </c:pt>
                <c:pt idx="8">
                  <c:v>Сентябрь 2011</c:v>
                </c:pt>
                <c:pt idx="9">
                  <c:v>Октябрь 2011</c:v>
                </c:pt>
                <c:pt idx="10">
                  <c:v>Ноябрь 2011</c:v>
                </c:pt>
                <c:pt idx="11">
                  <c:v>Декабрь 2011</c:v>
                </c:pt>
                <c:pt idx="12">
                  <c:v>Январь 2012</c:v>
                </c:pt>
                <c:pt idx="13">
                  <c:v>Февраль 2012</c:v>
                </c:pt>
                <c:pt idx="14">
                  <c:v>Март 2012</c:v>
                </c:pt>
                <c:pt idx="15">
                  <c:v>Апрель 2012</c:v>
                </c:pt>
                <c:pt idx="16">
                  <c:v>Май 2012</c:v>
                </c:pt>
                <c:pt idx="17">
                  <c:v>Июнь 2012</c:v>
                </c:pt>
                <c:pt idx="18">
                  <c:v>Июль 2012</c:v>
                </c:pt>
                <c:pt idx="19">
                  <c:v>Август 2012</c:v>
                </c:pt>
                <c:pt idx="20">
                  <c:v>Сентябрь 2012</c:v>
                </c:pt>
                <c:pt idx="21">
                  <c:v>Октябрь 2012</c:v>
                </c:pt>
                <c:pt idx="22">
                  <c:v>Ноябрь 2012</c:v>
                </c:pt>
                <c:pt idx="23">
                  <c:v>Декабрь 2012</c:v>
                </c:pt>
              </c:strCache>
            </c:strRef>
          </c:cat>
          <c:val>
            <c:numRef>
              <c:f>ForNotes!$J$3:$J$26</c:f>
              <c:numCache>
                <c:formatCode>General</c:formatCode>
                <c:ptCount val="24"/>
                <c:pt idx="0">
                  <c:v>345402</c:v>
                </c:pt>
                <c:pt idx="1">
                  <c:v>1070693</c:v>
                </c:pt>
                <c:pt idx="2">
                  <c:v>2303297</c:v>
                </c:pt>
                <c:pt idx="3">
                  <c:v>1996511</c:v>
                </c:pt>
                <c:pt idx="4">
                  <c:v>1871583</c:v>
                </c:pt>
                <c:pt idx="5">
                  <c:v>1367924</c:v>
                </c:pt>
                <c:pt idx="6">
                  <c:v>2342071</c:v>
                </c:pt>
                <c:pt idx="7">
                  <c:v>1624084</c:v>
                </c:pt>
                <c:pt idx="8">
                  <c:v>2075802</c:v>
                </c:pt>
                <c:pt idx="9">
                  <c:v>1910480</c:v>
                </c:pt>
                <c:pt idx="10">
                  <c:v>1669476</c:v>
                </c:pt>
                <c:pt idx="11">
                  <c:v>2644762</c:v>
                </c:pt>
                <c:pt idx="12">
                  <c:v>1402382</c:v>
                </c:pt>
                <c:pt idx="13">
                  <c:v>874109</c:v>
                </c:pt>
                <c:pt idx="14">
                  <c:v>2076167</c:v>
                </c:pt>
                <c:pt idx="15">
                  <c:v>2721475</c:v>
                </c:pt>
                <c:pt idx="16">
                  <c:v>1949148</c:v>
                </c:pt>
                <c:pt idx="17">
                  <c:v>2329123</c:v>
                </c:pt>
                <c:pt idx="18">
                  <c:v>2610234</c:v>
                </c:pt>
                <c:pt idx="19">
                  <c:v>1952004</c:v>
                </c:pt>
                <c:pt idx="20">
                  <c:v>1502361</c:v>
                </c:pt>
                <c:pt idx="21">
                  <c:v>2468515</c:v>
                </c:pt>
                <c:pt idx="22">
                  <c:v>2330674</c:v>
                </c:pt>
                <c:pt idx="23">
                  <c:v>2235451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43076736"/>
        <c:axId val="143479936"/>
        <c:axId val="0"/>
      </c:bar3DChart>
      <c:catAx>
        <c:axId val="143076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+mn-lt"/>
                <a:ea typeface="Arial"/>
                <a:cs typeface="Arial"/>
              </a:defRPr>
            </a:pPr>
            <a:endParaRPr lang="ru-RU"/>
          </a:p>
        </c:txPr>
        <c:crossAx val="143479936"/>
        <c:crosses val="autoZero"/>
        <c:auto val="1"/>
        <c:lblAlgn val="ctr"/>
        <c:lblOffset val="100"/>
        <c:noMultiLvlLbl val="0"/>
      </c:catAx>
      <c:valAx>
        <c:axId val="143479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+mn-lt"/>
                <a:ea typeface="Arial"/>
                <a:cs typeface="Arial"/>
              </a:defRPr>
            </a:pPr>
            <a:endParaRPr lang="ru-RU"/>
          </a:p>
        </c:txPr>
        <c:crossAx val="14307673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effectLst>
      <a:outerShdw blurRad="50800" dist="38100" dir="2700000" algn="tl" rotWithShape="0">
        <a:prstClr val="black"/>
      </a:outerShdw>
    </a:effectLst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file:///C:\Documents%20and%20Settings\vvs-05\&#1056;&#1072;&#1073;&#1086;&#1095;&#1080;&#1081;%20&#1089;&#1090;&#1086;&#1083;\&#1053;&#1086;&#1074;&#1099;&#1081;%20&#1084;&#1072;&#1082;&#1088;&#1086;&#1089;\vvs_logo.jpg" TargetMode="External"/><Relationship Id="rId1" Type="http://schemas.openxmlformats.org/officeDocument/2006/relationships/image" Target="../media/image3.jpeg"/></Relationships>
</file>

<file path=word/drawing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file:///C:\Documents%20and%20Settings\vvs-05\&#1056;&#1072;&#1073;&#1086;&#1095;&#1080;&#1081;%20&#1089;&#1090;&#1086;&#1083;\&#1053;&#1086;&#1074;&#1099;&#1081;%20&#1084;&#1072;&#1082;&#1088;&#1086;&#1089;\vvs_logo.jpg" TargetMode="External"/><Relationship Id="rId1" Type="http://schemas.openxmlformats.org/officeDocument/2006/relationships/image" Target="../media/image3.jpe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0.00536</cdr:x>
      <cdr:y>0.00799</cdr:y>
    </cdr:from>
    <cdr:to>
      <cdr:x>0.10023</cdr:x>
      <cdr:y>0.12405</cdr:y>
    </cdr:to>
    <cdr:pic>
      <cdr:nvPicPr>
        <cdr:cNvPr id="2" name="Рисунок 1"/>
        <cdr:cNvPicPr>
          <a:picLocks xmlns:a="http://schemas.openxmlformats.org/drawingml/2006/main"/>
        </cdr:cNvPicPr>
      </cdr:nvPicPr>
      <cdr:blipFill>
        <a:blip xmlns:a="http://schemas.openxmlformats.org/drawingml/2006/main" xmlns:r="http://schemas.openxmlformats.org/officeDocument/2006/relationships" r:embed="rId1" r:link="rId2">
          <a:extLst/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30137" y="18864"/>
          <a:ext cx="533389" cy="274021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0.00313</cdr:x>
      <cdr:y>0.00571</cdr:y>
    </cdr:from>
    <cdr:to>
      <cdr:x>0.0955</cdr:x>
      <cdr:y>0.0928</cdr:y>
    </cdr:to>
    <cdr:pic>
      <cdr:nvPicPr>
        <cdr:cNvPr id="2" name="Рисунок 1"/>
        <cdr:cNvPicPr>
          <a:picLocks xmlns:a="http://schemas.openxmlformats.org/drawingml/2006/main"/>
        </cdr:cNvPicPr>
      </cdr:nvPicPr>
      <cdr:blipFill>
        <a:blip xmlns:a="http://schemas.openxmlformats.org/drawingml/2006/main" xmlns:r="http://schemas.openxmlformats.org/officeDocument/2006/relationships" r:embed="rId1" r:link="rId2">
          <a:extLst/>
        </a:blip>
        <a:stretch xmlns:a="http://schemas.openxmlformats.org/drawingml/2006/main">
          <a:fillRect/>
        </a:stretch>
      </cdr:blipFill>
      <cdr:spPr>
        <a:xfrm xmlns:a="http://schemas.openxmlformats.org/drawingml/2006/main">
          <a:off x="16104" y="15116"/>
          <a:ext cx="475215" cy="230544"/>
        </a:xfrm>
        <a:prstGeom xmlns:a="http://schemas.openxmlformats.org/drawingml/2006/main" prst="rect">
          <a:avLst/>
        </a:prstGeom>
      </cdr:spPr>
    </cdr:pic>
  </cdr:relSizeAnchor>
</c:userShapes>
</file>

<file path=word/theme/_rels/themeOverrid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per">
    <a:dk1>
      <a:sysClr val="windowText" lastClr="000000"/>
    </a:dk1>
    <a:lt1>
      <a:sysClr val="window" lastClr="FFFFFF"/>
    </a:lt1>
    <a:dk2>
      <a:srgbClr val="444D26"/>
    </a:dk2>
    <a:lt2>
      <a:srgbClr val="FEFAC9"/>
    </a:lt2>
    <a:accent1>
      <a:srgbClr val="A5B592"/>
    </a:accent1>
    <a:accent2>
      <a:srgbClr val="F3A447"/>
    </a:accent2>
    <a:accent3>
      <a:srgbClr val="E7BC29"/>
    </a:accent3>
    <a:accent4>
      <a:srgbClr val="D092A7"/>
    </a:accent4>
    <a:accent5>
      <a:srgbClr val="9C85C0"/>
    </a:accent5>
    <a:accent6>
      <a:srgbClr val="809EC2"/>
    </a:accent6>
    <a:hlink>
      <a:srgbClr val="8E58B6"/>
    </a:hlink>
    <a:folHlink>
      <a:srgbClr val="7F6F6F"/>
    </a:folHlink>
  </a:clrScheme>
  <a:fontScheme name="Paper">
    <a:maj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onstantia"/>
      <a:ea typeface=""/>
      <a:cs typeface=""/>
      <a:font script="Jpan" typeface="HG明朝E"/>
      <a:font script="Hang" typeface="궁서"/>
      <a:font script="Hans" typeface="华文新魏"/>
      <a:font script="Hant" typeface="標楷體"/>
      <a:font script="Arab" typeface="Times New Roman"/>
      <a:font script="Hebr" typeface="Times New Roman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inorFont>
  </a:fontScheme>
  <a:fmtScheme name="Paper">
    <a: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63000"/>
              <a:tint val="82000"/>
            </a:schemeClr>
            <a:schemeClr val="phClr">
              <a:tint val="10000"/>
              <a:satMod val="400000"/>
            </a:schemeClr>
          </a:duotone>
        </a:blip>
        <a:tile tx="0" ty="0" sx="40000" sy="40000" flip="none" algn="tl"/>
      </a:blipFill>
      <a:blipFill>
        <a:blip xmlns:r="http://schemas.openxmlformats.org/officeDocument/2006/relationships" r:embed="rId1">
          <a:duotone>
            <a:schemeClr val="phClr">
              <a:shade val="40000"/>
            </a:schemeClr>
            <a:schemeClr val="phClr">
              <a:tint val="42000"/>
            </a:schemeClr>
          </a:duotone>
        </a:blip>
        <a:tile tx="0" ty="0" sx="40000" sy="40000" flip="none" algn="tl"/>
      </a:blipFill>
    </a:fillStyleLst>
    <a:lnStyleLst>
      <a:ln w="127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  <a:ln w="635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rotWithShape="0">
            <a:srgbClr val="000000">
              <a:alpha val="50000"/>
            </a:srgbClr>
          </a:outerShdw>
          <a:softEdge rad="12700"/>
        </a:effectLst>
      </a:effectStyle>
      <a:effectStyle>
        <a:effectLst>
          <a:outerShdw blurRad="95000" algn="tl" rotWithShape="0">
            <a:srgbClr val="000000">
              <a:alpha val="50000"/>
            </a:srgbClr>
          </a:outerShdw>
        </a:effectLst>
        <a:scene3d>
          <a:camera prst="orthographicFront"/>
          <a:lightRig rig="soft" dir="t">
            <a:rot lat="0" lon="0" rev="18000000"/>
          </a:lightRig>
        </a:scene3d>
        <a:sp3d prstMaterial="dkEdge">
          <a:bevelT w="73660" h="44450" prst="riblet"/>
        </a:sp3d>
      </a:effectStyle>
    </a:effectStyleLst>
    <a:bgFillStyleLst>
      <a:solidFill>
        <a:schemeClr val="phClr"/>
      </a:solidFill>
      <a:blipFill>
        <a:blip xmlns:r="http://schemas.openxmlformats.org/officeDocument/2006/relationships" r:embed="rId1">
          <a:duotone>
            <a:schemeClr val="phClr">
              <a:shade val="55000"/>
              <a:alpha val="20000"/>
            </a:schemeClr>
            <a:schemeClr val="phClr">
              <a:tint val="40000"/>
              <a:shade val="90000"/>
              <a:satMod val="60000"/>
              <a:alpha val="20000"/>
            </a:schemeClr>
          </a:duotone>
        </a:blip>
        <a:tile tx="0" ty="0" sx="58000" sy="38000" flip="none" algn="tl"/>
      </a:blipFill>
      <a:blipFill>
        <a:blip xmlns:r="http://schemas.openxmlformats.org/officeDocument/2006/relationships" r:embed="rId2">
          <a:duotone>
            <a:schemeClr val="phClr">
              <a:shade val="12000"/>
              <a:satMod val="240000"/>
            </a:schemeClr>
            <a:schemeClr val="phClr">
              <a:tint val="65000"/>
            </a:schemeClr>
          </a:duotone>
        </a:blip>
        <a:stretch>
          <a:fillRect/>
        </a:stretch>
      </a:blip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678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lika</dc:creator>
  <cp:lastModifiedBy>Игорь</cp:lastModifiedBy>
  <cp:revision>2</cp:revision>
  <dcterms:created xsi:type="dcterms:W3CDTF">2013-10-28T16:45:00Z</dcterms:created>
  <dcterms:modified xsi:type="dcterms:W3CDTF">2013-10-28T16:45:00Z</dcterms:modified>
</cp:coreProperties>
</file>